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r>
        <w:rPr>
          <w:rFonts w:hint="eastAsia" w:hAnsi="宋体"/>
          <w:b/>
          <w:bCs/>
          <w:color w:val="auto"/>
          <w:sz w:val="30"/>
          <w:szCs w:val="30"/>
        </w:rPr>
        <w:t>水保</w:t>
      </w:r>
      <w:r>
        <w:rPr>
          <w:rFonts w:hint="eastAsia" w:hAnsi="宋体"/>
          <w:b/>
          <w:bCs/>
          <w:color w:val="auto"/>
          <w:sz w:val="30"/>
          <w:szCs w:val="30"/>
          <w:lang w:eastAsia="zh-CN"/>
        </w:rPr>
        <w:t>监测（桂）字第</w:t>
      </w:r>
      <w:r>
        <w:rPr>
          <w:rFonts w:hint="default" w:ascii="Times New Roman" w:hAnsi="Times New Roman" w:cs="Times New Roman"/>
          <w:b/>
          <w:bCs/>
          <w:color w:val="auto"/>
          <w:sz w:val="30"/>
          <w:szCs w:val="30"/>
          <w:lang w:val="en-US" w:eastAsia="zh-CN"/>
        </w:rPr>
        <w:t>0017</w:t>
      </w:r>
      <w:r>
        <w:rPr>
          <w:rFonts w:hint="eastAsia" w:hAnsi="宋体"/>
          <w:b/>
          <w:bCs/>
          <w:color w:val="auto"/>
          <w:sz w:val="30"/>
          <w:szCs w:val="30"/>
          <w:lang w:val="en-US" w:eastAsia="zh-CN"/>
        </w:rPr>
        <w:t>号</w:t>
      </w:r>
    </w:p>
    <w:p>
      <w:pPr>
        <w:rPr>
          <w:rFonts w:hint="default" w:ascii="Times New Roman" w:hAnsi="Times New Roman" w:cs="Times New Roman"/>
          <w:color w:val="auto"/>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63" w:firstLineChars="400"/>
        <w:rPr>
          <w:rFonts w:hint="default" w:ascii="Times New Roman" w:hAnsi="Times New Roman" w:eastAsia="宋体" w:cs="Times New Roman"/>
          <w:b/>
          <w:bCs/>
          <w:color w:val="auto"/>
          <w:spacing w:val="2"/>
          <w:w w:val="99"/>
          <w:position w:val="-3"/>
          <w:sz w:val="44"/>
          <w:szCs w:val="44"/>
        </w:rPr>
      </w:pPr>
    </w:p>
    <w:p>
      <w:pPr>
        <w:ind w:firstLine="1763" w:firstLineChars="400"/>
        <w:rPr>
          <w:rFonts w:hint="default" w:ascii="Times New Roman" w:hAnsi="Times New Roman" w:eastAsia="宋体" w:cs="Times New Roman"/>
          <w:b/>
          <w:bCs/>
          <w:color w:val="auto"/>
          <w:spacing w:val="2"/>
          <w:w w:val="99"/>
          <w:position w:val="-3"/>
          <w:sz w:val="44"/>
          <w:szCs w:val="44"/>
        </w:rPr>
      </w:pPr>
    </w:p>
    <w:p>
      <w:pPr>
        <w:jc w:val="center"/>
        <w:rPr>
          <w:rFonts w:hint="default" w:ascii="Times New Roman" w:hAnsi="Times New Roman" w:eastAsia="宋体" w:cs="Times New Roman"/>
          <w:b/>
          <w:bCs/>
          <w:color w:val="auto"/>
          <w:spacing w:val="2"/>
          <w:w w:val="99"/>
          <w:position w:val="-3"/>
          <w:sz w:val="44"/>
          <w:szCs w:val="44"/>
        </w:rPr>
      </w:pPr>
      <w:r>
        <w:rPr>
          <w:rFonts w:hint="eastAsia" w:ascii="宋体" w:hAnsi="宋体" w:eastAsia="宋体" w:cs="宋体"/>
          <w:b/>
          <w:bCs/>
          <w:color w:val="auto"/>
          <w:kern w:val="0"/>
          <w:sz w:val="44"/>
          <w:szCs w:val="44"/>
          <w:lang w:val="en-US" w:eastAsia="zh-CN"/>
        </w:rPr>
        <w:t>三江侗天宫景区项目</w:t>
      </w:r>
    </w:p>
    <w:p>
      <w:pPr>
        <w:jc w:val="center"/>
        <w:rPr>
          <w:rFonts w:hint="default" w:ascii="Times New Roman" w:hAnsi="Times New Roman" w:eastAsia="黑体" w:cs="Times New Roman"/>
          <w:color w:val="auto"/>
          <w:sz w:val="72"/>
          <w:szCs w:val="72"/>
        </w:rPr>
      </w:pPr>
      <w:r>
        <w:rPr>
          <w:rFonts w:hint="default" w:ascii="黑体" w:hAnsi="黑体" w:eastAsia="黑体" w:cs="黑体"/>
          <w:b/>
          <w:bCs/>
          <w:color w:val="auto"/>
          <w:kern w:val="0"/>
          <w:sz w:val="72"/>
          <w:szCs w:val="72"/>
          <w:lang w:eastAsia="zh-CN"/>
        </w:rPr>
        <w:t>水土保持监测总结报告</w:t>
      </w:r>
    </w:p>
    <w:p>
      <w:pPr>
        <w:spacing w:before="3" w:after="0" w:line="190" w:lineRule="exact"/>
        <w:jc w:val="left"/>
        <w:rPr>
          <w:rFonts w:hint="default" w:ascii="Times New Roman" w:hAnsi="Times New Roman" w:cs="Times New Roman"/>
          <w:color w:val="auto"/>
          <w:sz w:val="19"/>
          <w:szCs w:val="19"/>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jc w:val="both"/>
        <w:rPr>
          <w:rFonts w:hint="default" w:ascii="Times New Roman" w:hAnsi="Times New Roman" w:eastAsia="宋体" w:cs="Times New Roman"/>
          <w:color w:val="auto"/>
          <w:spacing w:val="2"/>
          <w:w w:val="99"/>
          <w:sz w:val="32"/>
          <w:szCs w:val="32"/>
        </w:rPr>
      </w:pPr>
    </w:p>
    <w:p>
      <w:pPr>
        <w:jc w:val="center"/>
        <w:rPr>
          <w:rFonts w:hint="default" w:ascii="Times New Roman" w:hAnsi="Times New Roman" w:eastAsia="宋体" w:cs="Times New Roman"/>
          <w:color w:val="auto"/>
          <w:spacing w:val="2"/>
          <w:w w:val="99"/>
          <w:sz w:val="32"/>
          <w:szCs w:val="32"/>
        </w:rPr>
      </w:pPr>
    </w:p>
    <w:p>
      <w:pPr>
        <w:jc w:val="center"/>
        <w:rPr>
          <w:rFonts w:hint="default" w:ascii="Times New Roman" w:hAnsi="Times New Roman" w:eastAsia="宋体" w:cs="Times New Roman"/>
          <w:color w:val="auto"/>
          <w:spacing w:val="2"/>
          <w:w w:val="99"/>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Times New Roman" w:hAnsi="Times New Roman" w:eastAsia="宋体" w:cs="Times New Roman"/>
          <w:b/>
          <w:bCs/>
          <w:color w:val="auto"/>
          <w:spacing w:val="3"/>
          <w:w w:val="99"/>
          <w:sz w:val="32"/>
          <w:szCs w:val="32"/>
          <w:lang w:eastAsia="zh-CN"/>
        </w:rPr>
      </w:pPr>
      <w:r>
        <w:rPr>
          <w:rFonts w:hint="default" w:ascii="Times New Roman" w:hAnsi="Times New Roman" w:eastAsia="宋体" w:cs="Times New Roman"/>
          <w:b/>
          <w:bCs/>
          <w:color w:val="auto"/>
          <w:spacing w:val="2"/>
          <w:w w:val="99"/>
          <w:sz w:val="32"/>
          <w:szCs w:val="32"/>
        </w:rPr>
        <w:t>建设单位</w:t>
      </w:r>
      <w:r>
        <w:rPr>
          <w:rFonts w:hint="default" w:ascii="Times New Roman" w:hAnsi="Times New Roman" w:eastAsia="宋体" w:cs="Times New Roman"/>
          <w:b/>
          <w:bCs/>
          <w:color w:val="auto"/>
          <w:spacing w:val="3"/>
          <w:w w:val="99"/>
          <w:sz w:val="32"/>
          <w:szCs w:val="32"/>
        </w:rPr>
        <w:t>：</w:t>
      </w:r>
      <w:r>
        <w:rPr>
          <w:rFonts w:hint="eastAsia" w:ascii="Times New Roman" w:hAnsi="Times New Roman" w:eastAsia="宋体" w:cs="Times New Roman"/>
          <w:b/>
          <w:bCs/>
          <w:color w:val="auto"/>
          <w:spacing w:val="3"/>
          <w:w w:val="99"/>
          <w:sz w:val="32"/>
          <w:szCs w:val="32"/>
          <w:lang w:eastAsia="zh-CN"/>
        </w:rPr>
        <w:t>三江县福达文旅有限公司</w:t>
      </w:r>
    </w:p>
    <w:p>
      <w:pPr>
        <w:keepNext w:val="0"/>
        <w:keepLines w:val="0"/>
        <w:pageBreakBefore w:val="0"/>
        <w:widowControl w:val="0"/>
        <w:kinsoku/>
        <w:wordWrap/>
        <w:overflowPunct/>
        <w:topLinePunct w:val="0"/>
        <w:autoSpaceDE/>
        <w:autoSpaceDN/>
        <w:bidi w:val="0"/>
        <w:adjustRightInd/>
        <w:snapToGrid/>
        <w:spacing w:line="360" w:lineRule="auto"/>
        <w:ind w:firstLine="1940" w:firstLineChars="600"/>
        <w:jc w:val="both"/>
        <w:textAlignment w:val="auto"/>
        <w:rPr>
          <w:rFonts w:hint="eastAsia" w:ascii="Times New Roman" w:hAnsi="Times New Roman" w:eastAsia="宋体" w:cs="Times New Roman"/>
          <w:b/>
          <w:bCs/>
          <w:color w:val="auto"/>
          <w:spacing w:val="3"/>
          <w:w w:val="99"/>
          <w:sz w:val="32"/>
          <w:szCs w:val="32"/>
          <w:lang w:val="en-US" w:eastAsia="zh-CN"/>
        </w:rPr>
      </w:pPr>
      <w:r>
        <w:rPr>
          <w:rFonts w:hint="eastAsia" w:ascii="Times New Roman" w:hAnsi="Times New Roman" w:eastAsia="宋体" w:cs="Times New Roman"/>
          <w:b/>
          <w:bCs/>
          <w:color w:val="auto"/>
          <w:spacing w:val="3"/>
          <w:w w:val="99"/>
          <w:sz w:val="32"/>
          <w:szCs w:val="32"/>
          <w:lang w:val="en-US" w:eastAsia="zh-CN"/>
        </w:rPr>
        <w:t>监测单位：南宁赛伦沃特工程咨询有限公司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pacing w:val="0"/>
          <w:w w:val="99"/>
          <w:sz w:val="32"/>
          <w:szCs w:val="32"/>
          <w:lang w:val="en-US" w:eastAsia="zh-CN"/>
        </w:rPr>
      </w:pPr>
      <w:r>
        <w:rPr>
          <w:rFonts w:hint="eastAsia" w:ascii="Times New Roman" w:hAnsi="Times New Roman" w:eastAsia="宋体" w:cs="Times New Roman"/>
          <w:b/>
          <w:bCs/>
          <w:color w:val="auto"/>
          <w:spacing w:val="0"/>
          <w:w w:val="99"/>
          <w:sz w:val="32"/>
          <w:szCs w:val="32"/>
          <w:lang w:val="en-US" w:eastAsia="zh-CN"/>
        </w:rPr>
        <w:t>2021年3月</w:t>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auto"/>
          <w:spacing w:val="0"/>
          <w:w w:val="100"/>
          <w:position w:val="-3"/>
          <w:sz w:val="28"/>
          <w:szCs w:val="28"/>
        </w:rPr>
        <w:sectPr>
          <w:headerReference r:id="rId3" w:type="default"/>
          <w:footerReference r:id="rId4" w:type="default"/>
          <w:pgSz w:w="11923" w:h="16838"/>
          <w:pgMar w:top="1140" w:right="1321" w:bottom="1202" w:left="1298" w:header="624" w:footer="850" w:gutter="0"/>
          <w:pgNumType w:fmt="decimal" w:start="1"/>
          <w:cols w:space="425" w:num="1"/>
          <w:rtlGutter w:val="0"/>
          <w:docGrid w:type="lines" w:linePitch="290" w:charSpace="0"/>
        </w:sectPr>
      </w:pPr>
    </w:p>
    <w:p>
      <w:pPr>
        <w:ind w:firstLine="0" w:firstLineChars="0"/>
        <w:jc w:val="left"/>
        <w:rPr>
          <w:rFonts w:hint="eastAsia" w:ascii="Times New Roman" w:hAnsi="Times New Roman" w:eastAsia="仿宋" w:cs="Times New Roman"/>
          <w:color w:val="auto"/>
          <w:kern w:val="2"/>
          <w:sz w:val="24"/>
          <w:szCs w:val="24"/>
          <w:lang w:val="en-US" w:eastAsia="zh-CN" w:bidi="ar-SA"/>
        </w:rPr>
      </w:pPr>
    </w:p>
    <w:p>
      <w:pPr>
        <w:ind w:firstLine="0" w:firstLineChars="0"/>
        <w:jc w:val="left"/>
        <w:rPr>
          <w:rFonts w:hint="eastAsia" w:ascii="Times New Roman" w:hAnsi="Times New Roman" w:eastAsia="仿宋" w:cs="Times New Roman"/>
          <w:color w:val="auto"/>
          <w:kern w:val="2"/>
          <w:sz w:val="24"/>
          <w:szCs w:val="24"/>
          <w:lang w:val="en-US" w:eastAsia="zh-CN" w:bidi="ar-SA"/>
        </w:rPr>
      </w:pPr>
    </w:p>
    <w:p>
      <w:pPr>
        <w:ind w:firstLine="0" w:firstLineChars="0"/>
        <w:jc w:val="left"/>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监测单位地址：南宁市西乡塘区中华路68号振华苑2301室</w:t>
      </w:r>
    </w:p>
    <w:p>
      <w:pPr>
        <w:ind w:firstLine="0" w:firstLineChars="0"/>
        <w:jc w:val="left"/>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监测单位邮编：530023</w:t>
      </w:r>
    </w:p>
    <w:p>
      <w:pPr>
        <w:ind w:firstLine="0" w:firstLineChars="0"/>
        <w:jc w:val="left"/>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单 位 联系人：陈金根</w:t>
      </w:r>
    </w:p>
    <w:p>
      <w:pPr>
        <w:ind w:firstLine="0" w:firstLineChars="0"/>
        <w:jc w:val="left"/>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联  系 电 话：13878145122</w:t>
      </w:r>
    </w:p>
    <w:p>
      <w:pPr>
        <w:ind w:firstLine="1960" w:firstLineChars="700"/>
        <w:jc w:val="left"/>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0771-5533987</w:t>
      </w:r>
    </w:p>
    <w:p>
      <w:pPr>
        <w:ind w:firstLine="0" w:firstLineChars="0"/>
        <w:jc w:val="left"/>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电 子  信 箱：</w:t>
      </w:r>
      <w:r>
        <w:rPr>
          <w:rFonts w:hint="eastAsia" w:ascii="Times New Roman" w:hAnsi="Times New Roman" w:eastAsia="仿宋" w:cs="Times New Roman"/>
          <w:color w:val="auto"/>
          <w:kern w:val="2"/>
          <w:sz w:val="28"/>
          <w:szCs w:val="28"/>
          <w:lang w:val="en-US" w:eastAsia="zh-CN" w:bidi="ar-SA"/>
        </w:rPr>
        <w:fldChar w:fldCharType="begin"/>
      </w:r>
      <w:r>
        <w:rPr>
          <w:rFonts w:hint="eastAsia" w:ascii="Times New Roman" w:hAnsi="Times New Roman" w:eastAsia="仿宋" w:cs="Times New Roman"/>
          <w:color w:val="auto"/>
          <w:kern w:val="2"/>
          <w:sz w:val="28"/>
          <w:szCs w:val="28"/>
          <w:lang w:val="en-US" w:eastAsia="zh-CN" w:bidi="ar-SA"/>
        </w:rPr>
        <w:instrText xml:space="preserve"> HYPERLINK "mailto:sailungs@126.com" </w:instrText>
      </w:r>
      <w:r>
        <w:rPr>
          <w:rFonts w:hint="eastAsia" w:ascii="Times New Roman" w:hAnsi="Times New Roman" w:eastAsia="仿宋" w:cs="Times New Roman"/>
          <w:color w:val="auto"/>
          <w:kern w:val="2"/>
          <w:sz w:val="28"/>
          <w:szCs w:val="28"/>
          <w:lang w:val="en-US" w:eastAsia="zh-CN" w:bidi="ar-SA"/>
        </w:rPr>
        <w:fldChar w:fldCharType="separate"/>
      </w:r>
      <w:r>
        <w:rPr>
          <w:rFonts w:hint="eastAsia" w:ascii="Times New Roman" w:hAnsi="Times New Roman" w:eastAsia="仿宋" w:cs="Times New Roman"/>
          <w:color w:val="auto"/>
          <w:kern w:val="2"/>
          <w:sz w:val="28"/>
          <w:szCs w:val="28"/>
          <w:lang w:val="en-US" w:eastAsia="zh-CN" w:bidi="ar-SA"/>
        </w:rPr>
        <w:t>sailungs@126.com</w:t>
      </w:r>
      <w:r>
        <w:rPr>
          <w:rFonts w:hint="eastAsia" w:ascii="Times New Roman" w:hAnsi="Times New Roman" w:eastAsia="仿宋" w:cs="Times New Roman"/>
          <w:color w:val="auto"/>
          <w:kern w:val="2"/>
          <w:sz w:val="28"/>
          <w:szCs w:val="28"/>
          <w:lang w:val="en-US" w:eastAsia="zh-CN" w:bidi="ar-SA"/>
        </w:rPr>
        <w:fldChar w:fldCharType="end"/>
      </w:r>
    </w:p>
    <w:p>
      <w:pPr>
        <w:ind w:firstLine="0" w:firstLineChars="0"/>
        <w:jc w:val="left"/>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传        真：0771-5533987</w:t>
      </w:r>
    </w:p>
    <w:p>
      <w:pPr>
        <w:ind w:firstLine="0" w:firstLineChars="0"/>
        <w:jc w:val="left"/>
        <w:rPr>
          <w:rFonts w:hint="eastAsia" w:ascii="Times New Roman" w:hAnsi="Times New Roman" w:eastAsia="仿宋" w:cs="Times New Roman"/>
          <w:color w:val="auto"/>
          <w:kern w:val="2"/>
          <w:sz w:val="28"/>
          <w:szCs w:val="28"/>
          <w:lang w:val="en-US" w:eastAsia="zh-CN" w:bidi="ar-SA"/>
        </w:rPr>
      </w:pPr>
    </w:p>
    <w:p>
      <w:pPr>
        <w:ind w:firstLine="0" w:firstLineChars="0"/>
        <w:rPr>
          <w:rFonts w:hint="eastAsia" w:ascii="Times New Roman" w:hAnsi="Times New Roman" w:eastAsia="仿宋" w:cs="Times New Roman"/>
          <w:color w:val="auto"/>
          <w:kern w:val="2"/>
          <w:sz w:val="28"/>
          <w:szCs w:val="28"/>
          <w:lang w:val="en-US" w:eastAsia="zh-CN" w:bidi="ar-SA"/>
        </w:rPr>
      </w:pPr>
    </w:p>
    <w:p>
      <w:pPr>
        <w:ind w:firstLine="0" w:firstLineChars="0"/>
        <w:rPr>
          <w:rFonts w:hint="eastAsia" w:ascii="Times New Roman" w:hAnsi="Times New Roman" w:eastAsia="仿宋" w:cs="Times New Roman"/>
          <w:color w:val="auto"/>
          <w:kern w:val="2"/>
          <w:sz w:val="28"/>
          <w:szCs w:val="28"/>
          <w:lang w:val="en-US" w:eastAsia="zh-CN" w:bidi="ar-SA"/>
        </w:rPr>
      </w:pPr>
    </w:p>
    <w:p>
      <w:pPr>
        <w:ind w:firstLine="0" w:firstLineChars="0"/>
        <w:rPr>
          <w:rFonts w:hint="eastAsia" w:ascii="Times New Roman" w:hAnsi="Times New Roman" w:eastAsia="仿宋" w:cs="Times New Roman"/>
          <w:color w:val="auto"/>
          <w:kern w:val="2"/>
          <w:sz w:val="28"/>
          <w:szCs w:val="28"/>
          <w:lang w:val="en-US" w:eastAsia="zh-CN" w:bidi="ar-SA"/>
        </w:rPr>
      </w:pPr>
    </w:p>
    <w:p>
      <w:pPr>
        <w:ind w:firstLine="0" w:firstLineChars="0"/>
        <w:rPr>
          <w:rFonts w:hint="eastAsia" w:ascii="Times New Roman" w:hAnsi="Times New Roman" w:eastAsia="仿宋" w:cs="Times New Roman"/>
          <w:color w:val="auto"/>
          <w:kern w:val="2"/>
          <w:sz w:val="28"/>
          <w:szCs w:val="28"/>
          <w:lang w:val="en-US" w:eastAsia="zh-CN" w:bidi="ar-SA"/>
        </w:rPr>
      </w:pPr>
    </w:p>
    <w:p>
      <w:pPr>
        <w:ind w:firstLine="0" w:firstLineChars="0"/>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监 测 单 位 名称：南宁赛伦沃特工程咨询有限公司</w:t>
      </w:r>
    </w:p>
    <w:p>
      <w:pPr>
        <w:pStyle w:val="2"/>
        <w:spacing w:after="0"/>
        <w:ind w:firstLine="0" w:firstLineChars="0"/>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水保监测资质证书：</w:t>
      </w:r>
      <w:r>
        <w:rPr>
          <w:rFonts w:hint="default" w:ascii="Times New Roman" w:hAnsi="Times New Roman" w:eastAsia="仿宋" w:cs="Times New Roman"/>
          <w:color w:val="auto"/>
          <w:kern w:val="2"/>
          <w:sz w:val="28"/>
          <w:szCs w:val="28"/>
          <w:lang w:val="en-US" w:eastAsia="zh-CN" w:bidi="ar-SA"/>
        </w:rPr>
        <w:t>水保监</w:t>
      </w:r>
      <w:r>
        <w:rPr>
          <w:rFonts w:hint="eastAsia" w:ascii="Times New Roman" w:hAnsi="Times New Roman" w:eastAsia="仿宋" w:cs="Times New Roman"/>
          <w:color w:val="auto"/>
          <w:kern w:val="2"/>
          <w:sz w:val="28"/>
          <w:szCs w:val="28"/>
          <w:lang w:val="en-US" w:eastAsia="zh-CN" w:bidi="ar-SA"/>
        </w:rPr>
        <w:t xml:space="preserve">测（桂）字第0017号 </w:t>
      </w:r>
    </w:p>
    <w:p>
      <w:pPr>
        <w:pStyle w:val="2"/>
        <w:spacing w:after="0"/>
        <w:ind w:left="2520" w:hanging="2520" w:hangingChars="900"/>
        <w:rPr>
          <w:rFonts w:hint="default"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项   目  名   称：三江侗天宫景区项目水土保持监测总结报告</w:t>
      </w:r>
    </w:p>
    <w:p>
      <w:pPr>
        <w:pStyle w:val="2"/>
        <w:spacing w:after="0"/>
        <w:ind w:left="2520" w:hanging="2160" w:hangingChars="900"/>
        <w:rPr>
          <w:rFonts w:hint="eastAsia" w:ascii="Times New Roman" w:hAnsi="Times New Roman" w:eastAsia="仿宋" w:cs="Times New Roman"/>
          <w:color w:val="auto"/>
          <w:kern w:val="2"/>
          <w:sz w:val="24"/>
          <w:szCs w:val="24"/>
          <w:lang w:val="en-US" w:eastAsia="zh-CN" w:bidi="ar-SA"/>
        </w:rPr>
      </w:pPr>
    </w:p>
    <w:tbl>
      <w:tblPr>
        <w:tblStyle w:val="10"/>
        <w:tblW w:w="9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1770"/>
        <w:gridCol w:w="2055"/>
        <w:gridCol w:w="2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职  责</w:t>
            </w:r>
          </w:p>
        </w:tc>
        <w:tc>
          <w:tcPr>
            <w:tcW w:w="1770"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姓  名</w:t>
            </w:r>
          </w:p>
        </w:tc>
        <w:tc>
          <w:tcPr>
            <w:tcW w:w="2055"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职  称</w:t>
            </w:r>
          </w:p>
        </w:tc>
        <w:tc>
          <w:tcPr>
            <w:tcW w:w="2814"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总负责人</w:t>
            </w:r>
          </w:p>
        </w:tc>
        <w:tc>
          <w:tcPr>
            <w:tcW w:w="1770"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陈群良</w:t>
            </w:r>
          </w:p>
        </w:tc>
        <w:tc>
          <w:tcPr>
            <w:tcW w:w="2055"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高级工程师</w:t>
            </w:r>
          </w:p>
        </w:tc>
        <w:tc>
          <w:tcPr>
            <w:tcW w:w="2814"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项目负责人</w:t>
            </w:r>
          </w:p>
        </w:tc>
        <w:tc>
          <w:tcPr>
            <w:tcW w:w="1770"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黄森海</w:t>
            </w:r>
          </w:p>
        </w:tc>
        <w:tc>
          <w:tcPr>
            <w:tcW w:w="2055"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高级工程师</w:t>
            </w:r>
          </w:p>
        </w:tc>
        <w:tc>
          <w:tcPr>
            <w:tcW w:w="2814"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技术总负责</w:t>
            </w:r>
          </w:p>
        </w:tc>
        <w:tc>
          <w:tcPr>
            <w:tcW w:w="1770"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陈金根</w:t>
            </w:r>
          </w:p>
        </w:tc>
        <w:tc>
          <w:tcPr>
            <w:tcW w:w="2055"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工程师</w:t>
            </w:r>
          </w:p>
        </w:tc>
        <w:tc>
          <w:tcPr>
            <w:tcW w:w="2814"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具体实施计划</w:t>
            </w:r>
          </w:p>
        </w:tc>
        <w:tc>
          <w:tcPr>
            <w:tcW w:w="1770"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李建明</w:t>
            </w:r>
          </w:p>
        </w:tc>
        <w:tc>
          <w:tcPr>
            <w:tcW w:w="2055"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工程师</w:t>
            </w:r>
          </w:p>
        </w:tc>
        <w:tc>
          <w:tcPr>
            <w:tcW w:w="2814"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restart"/>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现场监测人员</w:t>
            </w:r>
          </w:p>
        </w:tc>
        <w:tc>
          <w:tcPr>
            <w:tcW w:w="1770"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王树平</w:t>
            </w:r>
          </w:p>
        </w:tc>
        <w:tc>
          <w:tcPr>
            <w:tcW w:w="2055"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工程师</w:t>
            </w:r>
          </w:p>
        </w:tc>
        <w:tc>
          <w:tcPr>
            <w:tcW w:w="2814"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p>
        </w:tc>
        <w:tc>
          <w:tcPr>
            <w:tcW w:w="1770"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潘月华</w:t>
            </w:r>
          </w:p>
        </w:tc>
        <w:tc>
          <w:tcPr>
            <w:tcW w:w="2055"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工程师</w:t>
            </w:r>
          </w:p>
        </w:tc>
        <w:tc>
          <w:tcPr>
            <w:tcW w:w="2814"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p>
        </w:tc>
        <w:tc>
          <w:tcPr>
            <w:tcW w:w="1770" w:type="dxa"/>
            <w:vAlign w:val="center"/>
          </w:tcPr>
          <w:p>
            <w:pPr>
              <w:ind w:firstLine="0" w:firstLineChars="0"/>
              <w:jc w:val="center"/>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农承诚</w:t>
            </w:r>
          </w:p>
        </w:tc>
        <w:tc>
          <w:tcPr>
            <w:tcW w:w="2055"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助理工程师</w:t>
            </w:r>
          </w:p>
        </w:tc>
        <w:tc>
          <w:tcPr>
            <w:tcW w:w="2814" w:type="dxa"/>
            <w:vAlign w:val="center"/>
          </w:tcPr>
          <w:p>
            <w:pPr>
              <w:ind w:firstLine="0" w:firstLineChars="0"/>
              <w:jc w:val="center"/>
              <w:rPr>
                <w:rFonts w:hint="eastAsia" w:ascii="Times New Roman" w:hAnsi="Times New Roman" w:eastAsia="仿宋" w:cs="Times New Roman"/>
                <w:color w:val="auto"/>
                <w:kern w:val="2"/>
                <w:sz w:val="24"/>
                <w:szCs w:val="24"/>
                <w:lang w:val="en-US" w:eastAsia="zh-CN" w:bidi="ar-SA"/>
              </w:rPr>
            </w:pPr>
          </w:p>
        </w:tc>
      </w:tr>
    </w:tbl>
    <w:p>
      <w:pPr>
        <w:rPr>
          <w:rFonts w:hint="default"/>
          <w:color w:val="auto"/>
        </w:rPr>
        <w:sectPr>
          <w:pgSz w:w="11923" w:h="16838"/>
          <w:pgMar w:top="1140" w:right="1321" w:bottom="1202" w:left="1298" w:header="624" w:footer="850" w:gutter="0"/>
          <w:pgNumType w:fmt="decimal" w:start="1"/>
          <w:cols w:space="425" w:num="1"/>
          <w:rtlGutter w:val="0"/>
          <w:docGrid w:type="lines" w:linePitch="290" w:charSpace="0"/>
        </w:sectPr>
      </w:pPr>
    </w:p>
    <w:p>
      <w:pPr>
        <w:pStyle w:val="2"/>
        <w:rPr>
          <w:rFonts w:hint="default"/>
          <w:color w:val="auto"/>
        </w:rPr>
        <w:sectPr>
          <w:pgSz w:w="11923" w:h="16838"/>
          <w:pgMar w:top="1140" w:right="1321" w:bottom="1202" w:left="1298" w:header="624" w:footer="850" w:gutter="0"/>
          <w:pgNumType w:fmt="decimal" w:start="1"/>
          <w:cols w:space="425" w:num="1"/>
          <w:rtlGutter w:val="0"/>
          <w:docGrid w:type="lines" w:linePitch="290" w:charSpace="0"/>
        </w:sectPr>
      </w:pPr>
    </w:p>
    <w:p>
      <w:pPr>
        <w:rPr>
          <w:rFonts w:hint="eastAsia" w:ascii="Times New Roman" w:hAnsi="Times New Roman" w:eastAsia="仿宋" w:cs="Times New Roman"/>
          <w:b/>
          <w:bCs/>
          <w:color w:val="auto"/>
          <w:sz w:val="32"/>
          <w:szCs w:val="32"/>
          <w:lang w:val="en-US" w:eastAsia="zh-CN"/>
        </w:rPr>
      </w:pPr>
    </w:p>
    <w:p>
      <w:pPr>
        <w:pStyle w:val="2"/>
        <w:rPr>
          <w:rFonts w:hint="default"/>
          <w:color w:val="auto"/>
        </w:rPr>
      </w:pP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仿宋" w:cs="Times New Roman"/>
          <w:b/>
          <w:bCs/>
          <w:color w:val="auto"/>
          <w:spacing w:val="0"/>
          <w:w w:val="100"/>
          <w:position w:val="-3"/>
          <w:sz w:val="32"/>
          <w:szCs w:val="32"/>
          <w:lang w:eastAsia="zh-CN"/>
        </w:rPr>
      </w:pPr>
      <w:r>
        <w:rPr>
          <w:rFonts w:hint="eastAsia" w:ascii="Times New Roman" w:hAnsi="Times New Roman" w:eastAsia="仿宋" w:cs="Times New Roman"/>
          <w:b/>
          <w:bCs/>
          <w:color w:val="auto"/>
          <w:spacing w:val="0"/>
          <w:w w:val="100"/>
          <w:position w:val="-3"/>
          <w:sz w:val="32"/>
          <w:szCs w:val="32"/>
          <w:lang w:eastAsia="zh-CN"/>
        </w:rPr>
        <w:t>目</w:t>
      </w:r>
      <w:r>
        <w:rPr>
          <w:rFonts w:hint="eastAsia" w:ascii="Times New Roman" w:hAnsi="Times New Roman" w:eastAsia="仿宋" w:cs="Times New Roman"/>
          <w:b/>
          <w:bCs/>
          <w:color w:val="auto"/>
          <w:spacing w:val="0"/>
          <w:w w:val="100"/>
          <w:position w:val="-3"/>
          <w:sz w:val="32"/>
          <w:szCs w:val="32"/>
          <w:lang w:val="en-US" w:eastAsia="zh-CN"/>
        </w:rPr>
        <w:t xml:space="preserve"> </w:t>
      </w:r>
      <w:r>
        <w:rPr>
          <w:rFonts w:hint="eastAsia" w:ascii="Times New Roman" w:hAnsi="Times New Roman" w:eastAsia="仿宋" w:cs="Times New Roman"/>
          <w:b/>
          <w:bCs/>
          <w:color w:val="auto"/>
          <w:spacing w:val="0"/>
          <w:w w:val="100"/>
          <w:position w:val="-3"/>
          <w:sz w:val="32"/>
          <w:szCs w:val="32"/>
          <w:lang w:eastAsia="zh-CN"/>
        </w:rPr>
        <w:t>录</w:t>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bookmarkStart w:id="0" w:name="_Toc8267"/>
      <w:r>
        <w:rPr>
          <w:rFonts w:hint="default" w:ascii="Times New Roman" w:hAnsi="Times New Roman" w:eastAsia="仿宋" w:cs="Times New Roman"/>
          <w:b/>
          <w:bCs/>
          <w:color w:val="auto"/>
          <w:sz w:val="32"/>
          <w:szCs w:val="32"/>
          <w:lang w:val="en-US" w:eastAsia="zh-CN"/>
        </w:rPr>
        <w:fldChar w:fldCharType="begin"/>
      </w:r>
      <w:r>
        <w:rPr>
          <w:rFonts w:hint="default" w:ascii="Times New Roman" w:hAnsi="Times New Roman" w:eastAsia="仿宋" w:cs="Times New Roman"/>
          <w:b/>
          <w:bCs/>
          <w:color w:val="auto"/>
          <w:sz w:val="32"/>
          <w:szCs w:val="32"/>
          <w:lang w:val="en-US" w:eastAsia="zh-CN"/>
        </w:rPr>
        <w:instrText xml:space="preserve">TOC \o "1-2" \h \u </w:instrText>
      </w:r>
      <w:r>
        <w:rPr>
          <w:rFonts w:hint="default" w:ascii="Times New Roman" w:hAnsi="Times New Roman" w:eastAsia="仿宋" w:cs="Times New Roman"/>
          <w:b/>
          <w:bCs/>
          <w:color w:val="auto"/>
          <w:sz w:val="32"/>
          <w:szCs w:val="32"/>
          <w:lang w:val="en-US" w:eastAsia="zh-CN"/>
        </w:rPr>
        <w:fldChar w:fldCharType="separate"/>
      </w: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_Toc27421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z w:val="24"/>
          <w:szCs w:val="24"/>
          <w:lang w:val="en-US" w:eastAsia="zh-CN"/>
        </w:rPr>
        <w:t>前  言</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_Toc27421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_Toc8181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0"/>
          <w:sz w:val="24"/>
          <w:szCs w:val="24"/>
        </w:rPr>
        <w:t>1</w:t>
      </w:r>
      <w:r>
        <w:rPr>
          <w:rFonts w:hint="default" w:ascii="Times New Roman" w:hAnsi="Times New Roman" w:eastAsia="仿宋" w:cs="Times New Roman"/>
          <w:b w:val="0"/>
          <w:bCs/>
          <w:color w:val="auto"/>
          <w:spacing w:val="78"/>
          <w:w w:val="100"/>
          <w:position w:val="0"/>
          <w:sz w:val="24"/>
          <w:szCs w:val="24"/>
        </w:rPr>
        <w:t xml:space="preserve"> </w:t>
      </w:r>
      <w:r>
        <w:rPr>
          <w:rFonts w:hint="default" w:ascii="Times New Roman" w:hAnsi="Times New Roman" w:eastAsia="仿宋" w:cs="Times New Roman"/>
          <w:b w:val="0"/>
          <w:bCs/>
          <w:color w:val="auto"/>
          <w:spacing w:val="2"/>
          <w:w w:val="99"/>
          <w:position w:val="0"/>
          <w:sz w:val="24"/>
          <w:szCs w:val="24"/>
        </w:rPr>
        <w:t>建设项目及水土保持工</w:t>
      </w:r>
      <w:r>
        <w:rPr>
          <w:rFonts w:hint="default" w:ascii="Times New Roman" w:hAnsi="Times New Roman" w:eastAsia="仿宋" w:cs="Times New Roman"/>
          <w:b w:val="0"/>
          <w:bCs/>
          <w:color w:val="auto"/>
          <w:spacing w:val="3"/>
          <w:w w:val="99"/>
          <w:position w:val="0"/>
          <w:sz w:val="24"/>
          <w:szCs w:val="24"/>
        </w:rPr>
        <w:t>作</w:t>
      </w:r>
      <w:r>
        <w:rPr>
          <w:rFonts w:hint="default" w:ascii="Times New Roman" w:hAnsi="Times New Roman" w:eastAsia="仿宋" w:cs="Times New Roman"/>
          <w:b w:val="0"/>
          <w:bCs/>
          <w:color w:val="auto"/>
          <w:spacing w:val="2"/>
          <w:w w:val="99"/>
          <w:position w:val="0"/>
          <w:sz w:val="24"/>
          <w:szCs w:val="24"/>
        </w:rPr>
        <w:t>概况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_Toc8181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_Toc11828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 xml:space="preserve">1.1 </w:t>
      </w:r>
      <w:r>
        <w:rPr>
          <w:rFonts w:hint="default" w:ascii="Times New Roman" w:hAnsi="Times New Roman" w:eastAsia="仿宋" w:cs="Times New Roman"/>
          <w:b w:val="0"/>
          <w:bCs/>
          <w:color w:val="auto"/>
          <w:spacing w:val="0"/>
          <w:w w:val="100"/>
          <w:sz w:val="24"/>
          <w:szCs w:val="24"/>
        </w:rPr>
        <w:t xml:space="preserve"> </w:t>
      </w:r>
      <w:r>
        <w:rPr>
          <w:rFonts w:hint="default" w:ascii="Times New Roman" w:hAnsi="Times New Roman" w:eastAsia="仿宋" w:cs="Times New Roman"/>
          <w:b w:val="0"/>
          <w:bCs/>
          <w:color w:val="auto"/>
          <w:spacing w:val="2"/>
          <w:w w:val="100"/>
          <w:sz w:val="24"/>
          <w:szCs w:val="24"/>
        </w:rPr>
        <w:t>项目</w:t>
      </w:r>
      <w:r>
        <w:rPr>
          <w:rFonts w:hint="default" w:ascii="Times New Roman" w:hAnsi="Times New Roman" w:eastAsia="仿宋" w:cs="Times New Roman"/>
          <w:b w:val="0"/>
          <w:bCs/>
          <w:color w:val="auto"/>
          <w:spacing w:val="0"/>
          <w:w w:val="100"/>
          <w:sz w:val="24"/>
          <w:szCs w:val="24"/>
        </w:rPr>
        <w:t>基</w:t>
      </w:r>
      <w:r>
        <w:rPr>
          <w:rFonts w:hint="default" w:ascii="Times New Roman" w:hAnsi="Times New Roman" w:eastAsia="仿宋" w:cs="Times New Roman"/>
          <w:b w:val="0"/>
          <w:bCs/>
          <w:color w:val="auto"/>
          <w:spacing w:val="2"/>
          <w:w w:val="100"/>
          <w:sz w:val="24"/>
          <w:szCs w:val="24"/>
        </w:rPr>
        <w:t>本</w:t>
      </w:r>
      <w:r>
        <w:rPr>
          <w:rFonts w:hint="default" w:ascii="Times New Roman" w:hAnsi="Times New Roman" w:eastAsia="仿宋" w:cs="Times New Roman"/>
          <w:b w:val="0"/>
          <w:bCs/>
          <w:color w:val="auto"/>
          <w:spacing w:val="0"/>
          <w:w w:val="100"/>
          <w:sz w:val="24"/>
          <w:szCs w:val="24"/>
        </w:rPr>
        <w:t>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_Toc11828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_Toc23448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kern w:val="2"/>
          <w:sz w:val="24"/>
          <w:szCs w:val="24"/>
          <w:lang w:val="en-US" w:eastAsia="zh-CN" w:bidi="ar-SA"/>
        </w:rPr>
        <w:t>1.2  项目区概况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_Toc23448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_Toc28598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kern w:val="0"/>
          <w:sz w:val="24"/>
          <w:szCs w:val="24"/>
          <w:lang w:val="en-US" w:eastAsia="zh-CN" w:bidi="ar-SA"/>
        </w:rPr>
        <w:t>1.3 水土保持工作情况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_Toc28598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_Toc12394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1"/>
          <w:w w:val="100"/>
          <w:sz w:val="24"/>
          <w:szCs w:val="24"/>
        </w:rPr>
        <w:t>1</w:t>
      </w:r>
      <w:r>
        <w:rPr>
          <w:rFonts w:hint="default" w:ascii="Times New Roman" w:hAnsi="Times New Roman" w:eastAsia="仿宋" w:cs="Times New Roman"/>
          <w:b w:val="0"/>
          <w:bCs/>
          <w:color w:val="auto"/>
          <w:spacing w:val="-1"/>
          <w:w w:val="100"/>
          <w:sz w:val="24"/>
          <w:szCs w:val="24"/>
        </w:rPr>
        <w:t>.</w:t>
      </w:r>
      <w:r>
        <w:rPr>
          <w:rFonts w:hint="default" w:ascii="Times New Roman" w:hAnsi="Times New Roman" w:eastAsia="仿宋" w:cs="Times New Roman"/>
          <w:b w:val="0"/>
          <w:bCs/>
          <w:color w:val="auto"/>
          <w:spacing w:val="0"/>
          <w:w w:val="100"/>
          <w:sz w:val="24"/>
          <w:szCs w:val="24"/>
        </w:rPr>
        <w:t xml:space="preserve">4  </w:t>
      </w:r>
      <w:r>
        <w:rPr>
          <w:rFonts w:hint="default" w:ascii="Times New Roman" w:hAnsi="Times New Roman" w:eastAsia="仿宋" w:cs="Times New Roman"/>
          <w:b w:val="0"/>
          <w:bCs/>
          <w:color w:val="auto"/>
          <w:spacing w:val="2"/>
          <w:w w:val="100"/>
          <w:sz w:val="24"/>
          <w:szCs w:val="24"/>
        </w:rPr>
        <w:t>监测</w:t>
      </w:r>
      <w:r>
        <w:rPr>
          <w:rFonts w:hint="default" w:ascii="Times New Roman" w:hAnsi="Times New Roman" w:eastAsia="仿宋" w:cs="Times New Roman"/>
          <w:b w:val="0"/>
          <w:bCs/>
          <w:color w:val="auto"/>
          <w:spacing w:val="0"/>
          <w:w w:val="100"/>
          <w:sz w:val="24"/>
          <w:szCs w:val="24"/>
        </w:rPr>
        <w:t>工</w:t>
      </w:r>
      <w:r>
        <w:rPr>
          <w:rFonts w:hint="default" w:ascii="Times New Roman" w:hAnsi="Times New Roman" w:eastAsia="仿宋" w:cs="Times New Roman"/>
          <w:b w:val="0"/>
          <w:bCs/>
          <w:color w:val="auto"/>
          <w:spacing w:val="2"/>
          <w:w w:val="100"/>
          <w:sz w:val="24"/>
          <w:szCs w:val="24"/>
        </w:rPr>
        <w:t>作</w:t>
      </w:r>
      <w:r>
        <w:rPr>
          <w:rFonts w:hint="default" w:ascii="Times New Roman" w:hAnsi="Times New Roman" w:eastAsia="仿宋" w:cs="Times New Roman"/>
          <w:b w:val="0"/>
          <w:bCs/>
          <w:color w:val="auto"/>
          <w:spacing w:val="0"/>
          <w:w w:val="100"/>
          <w:sz w:val="24"/>
          <w:szCs w:val="24"/>
        </w:rPr>
        <w:t>实施况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_Toc12394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_Toc16726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0"/>
          <w:sz w:val="24"/>
          <w:szCs w:val="24"/>
        </w:rPr>
        <w:t>2</w:t>
      </w:r>
      <w:r>
        <w:rPr>
          <w:rFonts w:hint="default" w:ascii="Times New Roman" w:hAnsi="Times New Roman" w:eastAsia="仿宋" w:cs="Times New Roman"/>
          <w:b w:val="0"/>
          <w:bCs/>
          <w:color w:val="auto"/>
          <w:spacing w:val="78"/>
          <w:w w:val="100"/>
          <w:position w:val="0"/>
          <w:sz w:val="24"/>
          <w:szCs w:val="24"/>
        </w:rPr>
        <w:t xml:space="preserve"> </w:t>
      </w:r>
      <w:r>
        <w:rPr>
          <w:rFonts w:hint="default" w:ascii="Times New Roman" w:hAnsi="Times New Roman" w:eastAsia="仿宋" w:cs="Times New Roman"/>
          <w:b w:val="0"/>
          <w:bCs/>
          <w:color w:val="auto"/>
          <w:spacing w:val="2"/>
          <w:w w:val="99"/>
          <w:position w:val="0"/>
          <w:sz w:val="24"/>
          <w:szCs w:val="24"/>
        </w:rPr>
        <w:t>监测内容和方法</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_Toc16726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_Toc30438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i w:val="0"/>
          <w:iCs w:val="0"/>
          <w:color w:val="auto"/>
          <w:spacing w:val="1"/>
          <w:w w:val="100"/>
          <w:sz w:val="24"/>
          <w:szCs w:val="24"/>
        </w:rPr>
        <w:t>2</w:t>
      </w:r>
      <w:r>
        <w:rPr>
          <w:rFonts w:hint="default" w:ascii="Times New Roman" w:hAnsi="Times New Roman" w:eastAsia="仿宋" w:cs="Times New Roman"/>
          <w:b w:val="0"/>
          <w:bCs/>
          <w:i w:val="0"/>
          <w:iCs w:val="0"/>
          <w:color w:val="auto"/>
          <w:spacing w:val="0"/>
          <w:w w:val="100"/>
          <w:sz w:val="24"/>
          <w:szCs w:val="24"/>
        </w:rPr>
        <w:t xml:space="preserve">.1  </w:t>
      </w:r>
      <w:r>
        <w:rPr>
          <w:rFonts w:hint="default" w:ascii="Times New Roman" w:hAnsi="Times New Roman" w:eastAsia="仿宋" w:cs="Times New Roman"/>
          <w:b w:val="0"/>
          <w:bCs/>
          <w:i w:val="0"/>
          <w:iCs w:val="0"/>
          <w:color w:val="auto"/>
          <w:spacing w:val="2"/>
          <w:w w:val="100"/>
          <w:sz w:val="24"/>
          <w:szCs w:val="24"/>
        </w:rPr>
        <w:t>扰动</w:t>
      </w:r>
      <w:r>
        <w:rPr>
          <w:rFonts w:hint="default" w:ascii="Times New Roman" w:hAnsi="Times New Roman" w:eastAsia="仿宋" w:cs="Times New Roman"/>
          <w:b w:val="0"/>
          <w:bCs/>
          <w:i w:val="0"/>
          <w:iCs w:val="0"/>
          <w:color w:val="auto"/>
          <w:spacing w:val="0"/>
          <w:w w:val="100"/>
          <w:sz w:val="24"/>
          <w:szCs w:val="24"/>
        </w:rPr>
        <w:t>土</w:t>
      </w:r>
      <w:r>
        <w:rPr>
          <w:rFonts w:hint="default" w:ascii="Times New Roman" w:hAnsi="Times New Roman" w:eastAsia="仿宋" w:cs="Times New Roman"/>
          <w:b w:val="0"/>
          <w:bCs/>
          <w:i w:val="0"/>
          <w:iCs w:val="0"/>
          <w:color w:val="auto"/>
          <w:spacing w:val="2"/>
          <w:w w:val="100"/>
          <w:sz w:val="24"/>
          <w:szCs w:val="24"/>
        </w:rPr>
        <w:t>地</w:t>
      </w:r>
      <w:r>
        <w:rPr>
          <w:rFonts w:hint="default" w:ascii="Times New Roman" w:hAnsi="Times New Roman" w:eastAsia="仿宋" w:cs="Times New Roman"/>
          <w:b w:val="0"/>
          <w:bCs/>
          <w:i w:val="0"/>
          <w:iCs w:val="0"/>
          <w:color w:val="auto"/>
          <w:spacing w:val="0"/>
          <w:w w:val="100"/>
          <w:sz w:val="24"/>
          <w:szCs w:val="24"/>
        </w:rPr>
        <w:t>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_Toc30438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_Toc14573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2.2  取料（土、石）、弃渣（土、石、矸石、尾矿等）</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_Toc14573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_Toc14245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2.3  水土保持措施</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_Toc14245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_Toc26183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2.4  水土流失情况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_Toc26183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_Toc11890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 重点监测部位水土流失动态监测结果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_Toc11890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_Toc7279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3.1   防治责任范围监测结果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_Toc7279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_Toc30447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3.2  取料监测结果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_Toc30447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_Toc21045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3.3  弃渣监测结果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_Toc21045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_Toc14206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3.4  土石方流向情况监测结果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_Toc14206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_Toc15363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3.5  其他重点部位监测结果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_Toc15363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_Toc1094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  水土流失防治措施监测结果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_Toc1094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22</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_Toc4412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4.1 工程措施监测结果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_Toc4412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22</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_Toc17291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4.2  植物措施监测结果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_Toc17291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_Toc16829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4.3  临时防治措施监测结果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_Toc16829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_Toc26042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4.4  水土保持措施防治效果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_Toc26042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_Toc17462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  土壤流失量分析</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_Toc17462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_Toc5844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5.1  水土流失面积</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_Toc5844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_Toc11380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5.2  土壤流失量</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_Toc11380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_Toc31767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5.3  取料（石、料）弃土（石、料）潜在土壤流失量</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_Toc31767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_Toc28885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5.4  水土流失危害</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_Toc28885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_Toc26652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   水土流失防治效果监测情况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_Toc26652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_Toc16503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6.1  水土流失总治理度</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_Toc16503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_Toc196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6.2  土壤流失控制比</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_Toc196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_Toc6127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 xml:space="preserve">6.3  </w:t>
      </w:r>
      <w:r>
        <w:rPr>
          <w:rFonts w:hint="eastAsia" w:ascii="Times New Roman" w:hAnsi="Times New Roman" w:eastAsia="仿宋" w:cs="Times New Roman"/>
          <w:b w:val="0"/>
          <w:bCs/>
          <w:color w:val="auto"/>
          <w:spacing w:val="0"/>
          <w:w w:val="100"/>
          <w:position w:val="-2"/>
          <w:sz w:val="24"/>
          <w:szCs w:val="24"/>
          <w:lang w:val="en-US" w:eastAsia="zh-CN"/>
        </w:rPr>
        <w:t>渣土防护率</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_Toc6127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lang w:val="en-US" w:eastAsia="zh-CN"/>
        </w:rPr>
      </w:pP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_Toc28073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w:t>
      </w:r>
      <w:r>
        <w:rPr>
          <w:rFonts w:hint="eastAsia" w:ascii="Times New Roman" w:hAnsi="Times New Roman" w:eastAsia="仿宋" w:cs="Times New Roman"/>
          <w:b w:val="0"/>
          <w:bCs/>
          <w:color w:val="auto"/>
          <w:spacing w:val="0"/>
          <w:w w:val="100"/>
          <w:position w:val="-2"/>
          <w:sz w:val="24"/>
          <w:szCs w:val="24"/>
          <w:lang w:val="en-US" w:eastAsia="zh-CN"/>
        </w:rPr>
        <w:t>5</w:t>
      </w:r>
      <w:r>
        <w:rPr>
          <w:rFonts w:hint="default" w:ascii="Times New Roman" w:hAnsi="Times New Roman" w:eastAsia="仿宋" w:cs="Times New Roman"/>
          <w:b w:val="0"/>
          <w:bCs/>
          <w:color w:val="auto"/>
          <w:spacing w:val="0"/>
          <w:w w:val="100"/>
          <w:position w:val="-2"/>
          <w:sz w:val="24"/>
          <w:szCs w:val="24"/>
          <w:lang w:val="en-US" w:eastAsia="zh-CN"/>
        </w:rPr>
        <w:t xml:space="preserve">  林草覆盖率</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_Toc28073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_Toc28796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w:t>
      </w:r>
      <w:r>
        <w:rPr>
          <w:rFonts w:hint="eastAsia" w:ascii="Times New Roman" w:hAnsi="Times New Roman" w:eastAsia="仿宋" w:cs="Times New Roman"/>
          <w:b w:val="0"/>
          <w:bCs/>
          <w:color w:val="auto"/>
          <w:spacing w:val="0"/>
          <w:w w:val="100"/>
          <w:position w:val="-2"/>
          <w:sz w:val="24"/>
          <w:szCs w:val="24"/>
          <w:lang w:val="en-US" w:eastAsia="zh-CN"/>
        </w:rPr>
        <w:t>6</w:t>
      </w:r>
      <w:r>
        <w:rPr>
          <w:rFonts w:hint="default" w:ascii="Times New Roman" w:hAnsi="Times New Roman" w:eastAsia="仿宋" w:cs="Times New Roman"/>
          <w:b w:val="0"/>
          <w:bCs/>
          <w:color w:val="auto"/>
          <w:spacing w:val="0"/>
          <w:w w:val="100"/>
          <w:position w:val="-2"/>
          <w:sz w:val="24"/>
          <w:szCs w:val="24"/>
          <w:lang w:val="en-US" w:eastAsia="zh-CN"/>
        </w:rPr>
        <w:t xml:space="preserve">  防治目标完成情况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_Toc28796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32</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_Toc6891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  结论</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_Toc6891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_Toc1560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7.1  水土流失动态变化</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_Toc1560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_Toc15249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7.2  水土保持措施评价</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_Toc15249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_Toc21209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7.3  存在问题及建议</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_Toc21209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_Toc20442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7.4  综合结论</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_Toc20442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_Toc4726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  水土保持监测附录</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_Toc4726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_Toc22324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8.1  附件</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_Toc22324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color w:val="auto"/>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_Toc30455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8.2  附图</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_Toc30455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Cs/>
          <w:color w:val="auto"/>
          <w:szCs w:val="32"/>
          <w:lang w:val="en-US" w:eastAsia="zh-CN"/>
        </w:rPr>
        <w:sectPr>
          <w:headerReference r:id="rId5" w:type="default"/>
          <w:footerReference r:id="rId6" w:type="default"/>
          <w:type w:val="continuous"/>
          <w:pgSz w:w="11923" w:h="16838"/>
          <w:pgMar w:top="1140" w:right="1321" w:bottom="1202" w:left="1298" w:header="624" w:footer="850" w:gutter="0"/>
          <w:pgNumType w:fmt="decimal"/>
          <w:cols w:space="425" w:num="1"/>
          <w:rtlGutter w:val="0"/>
          <w:docGrid w:type="lines" w:linePitch="290" w:charSpace="0"/>
        </w:sectPr>
      </w:pPr>
      <w:r>
        <w:rPr>
          <w:rFonts w:hint="default" w:ascii="Times New Roman" w:hAnsi="Times New Roman" w:eastAsia="仿宋" w:cs="Times New Roman"/>
          <w:bCs/>
          <w:color w:val="auto"/>
          <w:szCs w:val="32"/>
          <w:lang w:val="en-US" w:eastAsia="zh-CN"/>
        </w:rPr>
        <w:fldChar w:fldCharType="end"/>
      </w:r>
      <w:bookmarkStart w:id="1" w:name="_Toc27421"/>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前</w:t>
      </w:r>
      <w:r>
        <w:rPr>
          <w:rFonts w:hint="eastAsia"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b/>
          <w:bCs/>
          <w:color w:val="auto"/>
          <w:sz w:val="32"/>
          <w:szCs w:val="32"/>
          <w:lang w:val="en-US" w:eastAsia="zh-CN"/>
        </w:rPr>
        <w:t>言</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三江侗天宫景区项目位于三江侗族自治县古宜镇江峰街三江侗族博物馆旁。用地中心地理坐标为第一地块东经109°60'68.62"，北纬25°78'53.13"；第二地块东经109°60'68.73"，北纬25°78'56.27"。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根据项目建设内容，本工程由</w:t>
      </w:r>
      <w:r>
        <w:rPr>
          <w:rFonts w:hint="eastAsia" w:ascii="Times New Roman" w:hAnsi="Times New Roman" w:eastAsia="仿宋" w:cs="Times New Roman"/>
          <w:color w:val="auto"/>
          <w:spacing w:val="0"/>
          <w:w w:val="100"/>
          <w:sz w:val="24"/>
          <w:szCs w:val="24"/>
          <w:lang w:val="en-US" w:eastAsia="zh-CN"/>
        </w:rPr>
        <w:t>建构筑物区、道路绿化区、施工生产生活区。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本工程总占地面积</w:t>
      </w:r>
      <w:r>
        <w:rPr>
          <w:rFonts w:hint="eastAsia" w:ascii="Times New Roman" w:hAnsi="Times New Roman" w:eastAsia="仿宋" w:cs="Times New Roman"/>
          <w:color w:val="auto"/>
          <w:spacing w:val="0"/>
          <w:w w:val="100"/>
          <w:sz w:val="24"/>
          <w:szCs w:val="24"/>
          <w:lang w:val="en-US" w:eastAsia="zh-CN"/>
        </w:rPr>
        <w:t>1.56</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，其中永久占地</w:t>
      </w:r>
      <w:r>
        <w:rPr>
          <w:rFonts w:hint="eastAsia" w:ascii="Times New Roman" w:hAnsi="Times New Roman" w:eastAsia="仿宋" w:cs="Times New Roman"/>
          <w:color w:val="auto"/>
          <w:spacing w:val="0"/>
          <w:w w:val="100"/>
          <w:sz w:val="24"/>
          <w:szCs w:val="24"/>
          <w:lang w:val="en-US" w:eastAsia="zh-CN"/>
        </w:rPr>
        <w:t>1.56</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，临时占地</w:t>
      </w:r>
      <w:r>
        <w:rPr>
          <w:rFonts w:hint="eastAsia" w:ascii="Times New Roman" w:hAnsi="Times New Roman" w:eastAsia="仿宋" w:cs="Times New Roman"/>
          <w:color w:val="auto"/>
          <w:spacing w:val="0"/>
          <w:w w:val="100"/>
          <w:sz w:val="24"/>
          <w:szCs w:val="24"/>
          <w:lang w:val="en-US" w:eastAsia="zh-CN"/>
        </w:rPr>
        <w:t>0.03</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，包括房建构筑物区、道路绿化区、施工生产生活</w:t>
      </w:r>
      <w:r>
        <w:rPr>
          <w:rFonts w:hint="default"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工程建设过程中实际土石方挖方总量为</w:t>
      </w:r>
      <w:r>
        <w:rPr>
          <w:rFonts w:hint="eastAsia" w:ascii="Times New Roman" w:hAnsi="Times New Roman" w:eastAsia="仿宋" w:cs="Times New Roman"/>
          <w:color w:val="auto"/>
          <w:spacing w:val="0"/>
          <w:w w:val="100"/>
          <w:sz w:val="24"/>
          <w:szCs w:val="24"/>
          <w:lang w:val="en-US" w:eastAsia="zh-CN"/>
        </w:rPr>
        <w:t>1.48</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，填方</w:t>
      </w:r>
      <w:r>
        <w:rPr>
          <w:rFonts w:hint="eastAsia" w:ascii="Times New Roman" w:hAnsi="Times New Roman" w:eastAsia="仿宋" w:cs="Times New Roman"/>
          <w:color w:val="auto"/>
          <w:spacing w:val="0"/>
          <w:w w:val="100"/>
          <w:sz w:val="24"/>
          <w:szCs w:val="24"/>
          <w:lang w:val="en-US" w:eastAsia="zh-CN"/>
        </w:rPr>
        <w:t>1.48</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，无弃方。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工程于20</w:t>
      </w:r>
      <w:r>
        <w:rPr>
          <w:rFonts w:hint="eastAsia" w:ascii="Times New Roman" w:hAnsi="Times New Roman" w:eastAsia="仿宋" w:cs="Times New Roman"/>
          <w:color w:val="auto"/>
          <w:spacing w:val="0"/>
          <w:w w:val="100"/>
          <w:sz w:val="24"/>
          <w:szCs w:val="24"/>
          <w:lang w:val="en-US" w:eastAsia="zh-CN"/>
        </w:rPr>
        <w:t>19</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月开工</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月完工，工期共</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个月。工程实际总投资</w:t>
      </w:r>
      <w:r>
        <w:rPr>
          <w:rFonts w:hint="eastAsia" w:ascii="Times New Roman" w:hAnsi="Times New Roman" w:eastAsia="仿宋" w:cs="Times New Roman"/>
          <w:color w:val="auto"/>
          <w:spacing w:val="0"/>
          <w:w w:val="100"/>
          <w:sz w:val="24"/>
          <w:szCs w:val="24"/>
          <w:lang w:val="en-US" w:eastAsia="zh-CN"/>
        </w:rPr>
        <w:t>6000</w:t>
      </w:r>
      <w:r>
        <w:rPr>
          <w:rFonts w:hint="default" w:ascii="Times New Roman" w:hAnsi="Times New Roman" w:eastAsia="仿宋" w:cs="Times New Roman"/>
          <w:color w:val="auto"/>
          <w:spacing w:val="0"/>
          <w:w w:val="100"/>
          <w:sz w:val="24"/>
          <w:szCs w:val="24"/>
          <w:lang w:val="en-US" w:eastAsia="zh-CN"/>
        </w:rPr>
        <w:t>万元，土建投资</w:t>
      </w:r>
      <w:r>
        <w:rPr>
          <w:rFonts w:hint="eastAsia" w:ascii="Times New Roman" w:hAnsi="Times New Roman" w:eastAsia="仿宋" w:cs="Times New Roman"/>
          <w:color w:val="auto"/>
          <w:spacing w:val="0"/>
          <w:w w:val="100"/>
          <w:sz w:val="24"/>
          <w:szCs w:val="24"/>
          <w:lang w:val="en-US" w:eastAsia="zh-CN"/>
        </w:rPr>
        <w:t>4200</w:t>
      </w:r>
      <w:r>
        <w:rPr>
          <w:rFonts w:hint="default" w:ascii="Times New Roman" w:hAnsi="Times New Roman" w:eastAsia="仿宋" w:cs="Times New Roman"/>
          <w:color w:val="auto"/>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19</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10</w:t>
      </w:r>
      <w:r>
        <w:rPr>
          <w:rFonts w:hint="default" w:ascii="Times New Roman" w:hAnsi="Times New Roman" w:eastAsia="仿宋" w:cs="Times New Roman"/>
          <w:color w:val="auto"/>
          <w:spacing w:val="0"/>
          <w:w w:val="100"/>
          <w:sz w:val="24"/>
          <w:szCs w:val="24"/>
          <w:lang w:val="en-US" w:eastAsia="zh-CN"/>
        </w:rPr>
        <w:t>月，建设单位委托</w:t>
      </w:r>
      <w:r>
        <w:rPr>
          <w:rFonts w:hint="eastAsia" w:ascii="Times New Roman" w:hAnsi="Times New Roman" w:eastAsia="仿宋" w:cs="Times New Roman"/>
          <w:color w:val="auto"/>
          <w:spacing w:val="0"/>
          <w:w w:val="100"/>
          <w:sz w:val="24"/>
          <w:szCs w:val="24"/>
          <w:lang w:val="en-US" w:eastAsia="zh-CN"/>
        </w:rPr>
        <w:t>广西广蓝工程设计咨询有限公司</w:t>
      </w:r>
      <w:r>
        <w:rPr>
          <w:rFonts w:hint="default" w:ascii="Times New Roman" w:hAnsi="Times New Roman" w:eastAsia="仿宋" w:cs="Times New Roman"/>
          <w:color w:val="auto"/>
          <w:spacing w:val="0"/>
          <w:w w:val="100"/>
          <w:sz w:val="24"/>
          <w:szCs w:val="24"/>
          <w:lang w:val="en-US" w:eastAsia="zh-CN"/>
        </w:rPr>
        <w:t>承担项目水土保持方案编制工作，201</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11</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auto"/>
          <w:spacing w:val="0"/>
          <w:w w:val="100"/>
          <w:sz w:val="24"/>
          <w:szCs w:val="24"/>
          <w:lang w:val="en-US" w:eastAsia="zh-CN"/>
        </w:rPr>
        <w:t>11</w:t>
      </w:r>
      <w:r>
        <w:rPr>
          <w:rFonts w:hint="default" w:ascii="Times New Roman" w:hAnsi="Times New Roman" w:eastAsia="仿宋" w:cs="Times New Roman"/>
          <w:color w:val="auto"/>
          <w:spacing w:val="0"/>
          <w:w w:val="100"/>
          <w:sz w:val="24"/>
          <w:szCs w:val="24"/>
          <w:lang w:val="en-US" w:eastAsia="zh-CN"/>
        </w:rPr>
        <w:t>日</w:t>
      </w:r>
      <w:r>
        <w:rPr>
          <w:rFonts w:hint="eastAsia" w:ascii="Times New Roman" w:hAnsi="Times New Roman" w:eastAsia="仿宋" w:cs="Times New Roman"/>
          <w:color w:val="auto"/>
          <w:spacing w:val="0"/>
          <w:w w:val="100"/>
          <w:sz w:val="24"/>
          <w:szCs w:val="24"/>
          <w:lang w:val="en-US" w:eastAsia="zh-CN"/>
        </w:rPr>
        <w:t>三江侗族自治县水利局</w:t>
      </w:r>
      <w:r>
        <w:rPr>
          <w:rFonts w:hint="default" w:ascii="Times New Roman" w:hAnsi="Times New Roman" w:eastAsia="仿宋" w:cs="Times New Roman"/>
          <w:color w:val="auto"/>
          <w:spacing w:val="0"/>
          <w:w w:val="100"/>
          <w:sz w:val="24"/>
          <w:szCs w:val="24"/>
          <w:lang w:val="en-US" w:eastAsia="zh-CN"/>
        </w:rPr>
        <w:t>以《关于</w:t>
      </w:r>
      <w:r>
        <w:rPr>
          <w:rFonts w:hint="eastAsia" w:ascii="Times New Roman" w:hAnsi="Times New Roman" w:eastAsia="仿宋" w:cs="Times New Roman"/>
          <w:color w:val="auto"/>
          <w:spacing w:val="0"/>
          <w:w w:val="100"/>
          <w:sz w:val="24"/>
          <w:szCs w:val="24"/>
          <w:lang w:val="en-US" w:eastAsia="zh-CN"/>
        </w:rPr>
        <w:t>三江侗天宫景区项目</w:t>
      </w:r>
      <w:r>
        <w:rPr>
          <w:rFonts w:hint="default" w:ascii="Times New Roman" w:hAnsi="Times New Roman" w:eastAsia="仿宋" w:cs="Times New Roman"/>
          <w:color w:val="auto"/>
          <w:spacing w:val="0"/>
          <w:w w:val="100"/>
          <w:sz w:val="24"/>
          <w:szCs w:val="24"/>
          <w:lang w:val="en-US" w:eastAsia="zh-CN"/>
        </w:rPr>
        <w:t>水土保持方案的批复》（</w:t>
      </w:r>
      <w:r>
        <w:rPr>
          <w:rFonts w:hint="eastAsia" w:ascii="Times New Roman" w:hAnsi="Times New Roman" w:eastAsia="仿宋" w:cs="Times New Roman"/>
          <w:color w:val="auto"/>
          <w:spacing w:val="0"/>
          <w:w w:val="100"/>
          <w:sz w:val="24"/>
          <w:szCs w:val="24"/>
          <w:lang w:val="en-US" w:eastAsia="zh-CN"/>
        </w:rPr>
        <w:t>三水水保涵</w:t>
      </w:r>
      <w:r>
        <w:rPr>
          <w:rFonts w:hint="default" w:ascii="Times New Roman" w:hAnsi="Times New Roman" w:eastAsia="仿宋" w:cs="Times New Roman"/>
          <w:color w:val="auto"/>
          <w:spacing w:val="0"/>
          <w:w w:val="100"/>
          <w:sz w:val="24"/>
          <w:szCs w:val="24"/>
          <w:lang w:val="en-US" w:eastAsia="zh-CN"/>
        </w:rPr>
        <w:t>[201</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54</w:t>
      </w:r>
      <w:r>
        <w:rPr>
          <w:rFonts w:hint="default" w:ascii="Times New Roman" w:hAnsi="Times New Roman" w:eastAsia="仿宋" w:cs="Times New Roman"/>
          <w:color w:val="auto"/>
          <w:spacing w:val="0"/>
          <w:w w:val="100"/>
          <w:sz w:val="24"/>
          <w:szCs w:val="24"/>
          <w:lang w:val="en-US" w:eastAsia="zh-CN"/>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本工程水土保持设施实际完成投资</w:t>
      </w:r>
      <w:r>
        <w:rPr>
          <w:rFonts w:hint="eastAsia" w:ascii="Times New Roman" w:hAnsi="Times New Roman" w:eastAsia="仿宋" w:cs="Times New Roman"/>
          <w:color w:val="auto"/>
          <w:spacing w:val="0"/>
          <w:w w:val="100"/>
          <w:sz w:val="24"/>
          <w:szCs w:val="24"/>
          <w:lang w:val="en-US" w:eastAsia="zh-CN"/>
        </w:rPr>
        <w:t>94.08</w:t>
      </w:r>
      <w:r>
        <w:rPr>
          <w:rFonts w:hint="default" w:ascii="Times New Roman" w:hAnsi="Times New Roman" w:eastAsia="仿宋" w:cs="Times New Roman"/>
          <w:color w:val="auto"/>
          <w:spacing w:val="0"/>
          <w:w w:val="100"/>
          <w:sz w:val="24"/>
          <w:szCs w:val="24"/>
          <w:lang w:val="en-US" w:eastAsia="zh-CN"/>
        </w:rPr>
        <w:t>万元，其中工程措施投资</w:t>
      </w:r>
      <w:r>
        <w:rPr>
          <w:rFonts w:hint="eastAsia" w:ascii="Times New Roman" w:hAnsi="Times New Roman" w:eastAsia="仿宋" w:cs="Times New Roman"/>
          <w:color w:val="auto"/>
          <w:spacing w:val="0"/>
          <w:w w:val="100"/>
          <w:sz w:val="24"/>
          <w:szCs w:val="24"/>
          <w:lang w:val="en-US" w:eastAsia="zh-CN"/>
        </w:rPr>
        <w:t>19.86</w:t>
      </w:r>
      <w:r>
        <w:rPr>
          <w:rFonts w:hint="default" w:ascii="Times New Roman" w:hAnsi="Times New Roman" w:eastAsia="仿宋" w:cs="Times New Roman"/>
          <w:color w:val="auto"/>
          <w:spacing w:val="0"/>
          <w:w w:val="100"/>
          <w:sz w:val="24"/>
          <w:szCs w:val="24"/>
          <w:lang w:val="en-US" w:eastAsia="zh-CN"/>
        </w:rPr>
        <w:t>万元、植物措施投资</w:t>
      </w:r>
      <w:r>
        <w:rPr>
          <w:rFonts w:hint="eastAsia" w:ascii="Times New Roman" w:hAnsi="Times New Roman" w:eastAsia="仿宋" w:cs="Times New Roman"/>
          <w:color w:val="auto"/>
          <w:spacing w:val="0"/>
          <w:w w:val="100"/>
          <w:sz w:val="24"/>
          <w:szCs w:val="24"/>
          <w:lang w:val="en-US" w:eastAsia="zh-CN"/>
        </w:rPr>
        <w:t>41.80</w:t>
      </w:r>
      <w:r>
        <w:rPr>
          <w:rFonts w:hint="default" w:ascii="Times New Roman" w:hAnsi="Times New Roman" w:eastAsia="仿宋" w:cs="Times New Roman"/>
          <w:color w:val="auto"/>
          <w:spacing w:val="0"/>
          <w:w w:val="100"/>
          <w:sz w:val="24"/>
          <w:szCs w:val="24"/>
          <w:lang w:val="en-US" w:eastAsia="zh-CN"/>
        </w:rPr>
        <w:t>万元、临时措施投资</w:t>
      </w:r>
      <w:r>
        <w:rPr>
          <w:rFonts w:hint="eastAsia" w:ascii="Times New Roman" w:hAnsi="Times New Roman" w:eastAsia="仿宋" w:cs="Times New Roman"/>
          <w:color w:val="auto"/>
          <w:spacing w:val="0"/>
          <w:w w:val="100"/>
          <w:sz w:val="24"/>
          <w:szCs w:val="24"/>
          <w:lang w:val="en-US" w:eastAsia="zh-CN"/>
        </w:rPr>
        <w:t>7.52</w:t>
      </w:r>
      <w:r>
        <w:rPr>
          <w:rFonts w:hint="default" w:ascii="Times New Roman" w:hAnsi="Times New Roman" w:eastAsia="仿宋" w:cs="Times New Roman"/>
          <w:color w:val="auto"/>
          <w:spacing w:val="0"/>
          <w:w w:val="100"/>
          <w:sz w:val="24"/>
          <w:szCs w:val="24"/>
          <w:lang w:val="en-US" w:eastAsia="zh-CN"/>
        </w:rPr>
        <w:t>万元、独立费用</w:t>
      </w:r>
      <w:r>
        <w:rPr>
          <w:rFonts w:hint="eastAsia" w:ascii="Times New Roman" w:hAnsi="Times New Roman" w:eastAsia="仿宋" w:cs="Times New Roman"/>
          <w:color w:val="auto"/>
          <w:spacing w:val="0"/>
          <w:w w:val="100"/>
          <w:sz w:val="24"/>
          <w:szCs w:val="24"/>
          <w:lang w:val="en-US" w:eastAsia="zh-CN"/>
        </w:rPr>
        <w:t>21.38</w:t>
      </w:r>
      <w:r>
        <w:rPr>
          <w:rFonts w:hint="default" w:ascii="Times New Roman" w:hAnsi="Times New Roman" w:eastAsia="仿宋" w:cs="Times New Roman"/>
          <w:color w:val="auto"/>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w w:val="100"/>
          <w:sz w:val="24"/>
          <w:szCs w:val="24"/>
          <w:lang w:val="en-US" w:eastAsia="zh-CN"/>
        </w:rPr>
        <w:t>根据</w:t>
      </w:r>
      <w:r>
        <w:rPr>
          <w:rFonts w:hint="default" w:ascii="Times New Roman" w:hAnsi="Times New Roman" w:eastAsia="仿宋" w:cs="Times New Roman"/>
          <w:color w:val="auto"/>
          <w:spacing w:val="0"/>
          <w:w w:val="100"/>
          <w:sz w:val="24"/>
          <w:szCs w:val="24"/>
          <w:lang w:val="en-US" w:eastAsia="zh-CN"/>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建设单位于</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19</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11</w:t>
      </w:r>
      <w:r>
        <w:rPr>
          <w:rFonts w:hint="default" w:ascii="Times New Roman" w:hAnsi="Times New Roman" w:eastAsia="仿宋" w:cs="Times New Roman"/>
          <w:color w:val="auto"/>
          <w:spacing w:val="0"/>
          <w:w w:val="100"/>
          <w:sz w:val="24"/>
          <w:szCs w:val="24"/>
          <w:lang w:val="en-US" w:eastAsia="zh-CN"/>
        </w:rPr>
        <w:t>月委托</w:t>
      </w:r>
      <w:r>
        <w:rPr>
          <w:rFonts w:hint="eastAsia" w:ascii="Times New Roman" w:hAnsi="Times New Roman" w:eastAsia="仿宋" w:cs="Times New Roman"/>
          <w:color w:val="auto"/>
          <w:spacing w:val="0"/>
          <w:w w:val="100"/>
          <w:sz w:val="24"/>
          <w:szCs w:val="24"/>
          <w:lang w:val="en-US" w:eastAsia="zh-CN"/>
        </w:rPr>
        <w:t>南宁赛伦沃特工程咨询有限公司</w:t>
      </w:r>
      <w:r>
        <w:rPr>
          <w:rFonts w:hint="default" w:ascii="Times New Roman" w:hAnsi="Times New Roman" w:eastAsia="仿宋" w:cs="Times New Roman"/>
          <w:color w:val="auto"/>
          <w:spacing w:val="0"/>
          <w:w w:val="100"/>
          <w:sz w:val="24"/>
          <w:szCs w:val="24"/>
          <w:lang w:val="en-US" w:eastAsia="zh-CN"/>
        </w:rPr>
        <w:t>对</w:t>
      </w:r>
      <w:r>
        <w:rPr>
          <w:rFonts w:hint="eastAsia" w:ascii="Times New Roman" w:hAnsi="Times New Roman" w:eastAsia="仿宋" w:cs="Times New Roman"/>
          <w:color w:val="auto"/>
          <w:spacing w:val="0"/>
          <w:w w:val="100"/>
          <w:sz w:val="24"/>
          <w:szCs w:val="24"/>
          <w:lang w:val="en-US" w:eastAsia="zh-CN"/>
        </w:rPr>
        <w:t>三江侗天宫景区项目</w:t>
      </w:r>
      <w:r>
        <w:rPr>
          <w:rFonts w:hint="default" w:ascii="Times New Roman" w:hAnsi="Times New Roman" w:eastAsia="仿宋" w:cs="Times New Roman"/>
          <w:color w:val="auto"/>
          <w:spacing w:val="0"/>
          <w:w w:val="100"/>
          <w:sz w:val="24"/>
          <w:szCs w:val="24"/>
          <w:lang w:val="en-US" w:eastAsia="zh-CN"/>
        </w:rPr>
        <w:t>进行水土保持专项监测。接此委托后，</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19</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11</w:t>
      </w:r>
      <w:r>
        <w:rPr>
          <w:rFonts w:hint="default" w:ascii="Times New Roman" w:hAnsi="Times New Roman" w:eastAsia="仿宋" w:cs="Times New Roman"/>
          <w:color w:val="auto"/>
          <w:spacing w:val="0"/>
          <w:w w:val="100"/>
          <w:sz w:val="24"/>
          <w:szCs w:val="24"/>
          <w:lang w:val="en-US" w:eastAsia="zh-CN"/>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auto"/>
          <w:spacing w:val="0"/>
          <w:w w:val="100"/>
          <w:sz w:val="24"/>
          <w:szCs w:val="24"/>
          <w:lang w:val="en-US" w:eastAsia="zh-CN"/>
        </w:rPr>
        <w:t>三江侗天宫景区项目</w:t>
      </w:r>
      <w:r>
        <w:rPr>
          <w:rFonts w:hint="default" w:ascii="Times New Roman" w:hAnsi="Times New Roman" w:eastAsia="仿宋" w:cs="Times New Roman"/>
          <w:color w:val="auto"/>
          <w:spacing w:val="0"/>
          <w:w w:val="100"/>
          <w:sz w:val="24"/>
          <w:szCs w:val="24"/>
          <w:lang w:val="en-US" w:eastAsia="zh-CN"/>
        </w:rPr>
        <w:t>水土保持方案报告书》（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auto"/>
          <w:spacing w:val="0"/>
          <w:w w:val="100"/>
          <w:sz w:val="24"/>
          <w:szCs w:val="24"/>
          <w:lang w:val="en-US" w:eastAsia="zh-CN"/>
        </w:rPr>
        <w:t>广西广蓝工程设计咨询有限公司</w:t>
      </w:r>
      <w:r>
        <w:rPr>
          <w:rFonts w:hint="default" w:ascii="Times New Roman" w:hAnsi="Times New Roman" w:eastAsia="仿宋" w:cs="Times New Roman"/>
          <w:color w:val="auto"/>
          <w:spacing w:val="0"/>
          <w:w w:val="100"/>
          <w:sz w:val="24"/>
          <w:szCs w:val="24"/>
          <w:lang w:val="en-US" w:eastAsia="zh-CN"/>
        </w:rPr>
        <w:t>编制完成《</w:t>
      </w:r>
      <w:r>
        <w:rPr>
          <w:rFonts w:hint="eastAsia" w:ascii="Times New Roman" w:hAnsi="Times New Roman" w:eastAsia="仿宋" w:cs="Times New Roman"/>
          <w:color w:val="auto"/>
          <w:spacing w:val="0"/>
          <w:w w:val="100"/>
          <w:sz w:val="24"/>
          <w:szCs w:val="24"/>
          <w:lang w:val="en-US" w:eastAsia="zh-CN"/>
        </w:rPr>
        <w:t>三江侗天宫景区项目</w:t>
      </w:r>
      <w:r>
        <w:rPr>
          <w:rFonts w:hint="default" w:ascii="Times New Roman" w:hAnsi="Times New Roman" w:eastAsia="仿宋" w:cs="Times New Roman"/>
          <w:color w:val="auto"/>
          <w:spacing w:val="0"/>
          <w:w w:val="100"/>
          <w:sz w:val="24"/>
          <w:szCs w:val="24"/>
          <w:lang w:val="en-US" w:eastAsia="zh-CN"/>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br w:type="page"/>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b/>
          <w:bCs/>
          <w:color w:val="auto"/>
          <w:sz w:val="24"/>
          <w:szCs w:val="24"/>
          <w:lang w:eastAsia="zh-CN"/>
        </w:rPr>
      </w:pPr>
      <w:r>
        <w:rPr>
          <w:rFonts w:hint="eastAsia" w:ascii="Times New Roman" w:hAnsi="Times New Roman" w:eastAsia="仿宋" w:cs="Times New Roman"/>
          <w:b/>
          <w:bCs/>
          <w:color w:val="auto"/>
          <w:sz w:val="24"/>
          <w:szCs w:val="24"/>
          <w:lang w:eastAsia="zh-CN"/>
        </w:rPr>
        <w:t>三江侗天宫景区项目</w:t>
      </w:r>
      <w:r>
        <w:rPr>
          <w:rFonts w:hint="default" w:ascii="Times New Roman" w:hAnsi="Times New Roman" w:eastAsia="仿宋" w:cs="Times New Roman"/>
          <w:b/>
          <w:bCs/>
          <w:color w:val="auto"/>
          <w:sz w:val="24"/>
          <w:szCs w:val="24"/>
          <w:lang w:eastAsia="zh-CN"/>
        </w:rPr>
        <w:t>水土保持监测特性表</w:t>
      </w:r>
    </w:p>
    <w:tbl>
      <w:tblPr>
        <w:tblStyle w:val="11"/>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356"/>
        <w:gridCol w:w="412"/>
        <w:gridCol w:w="1005"/>
        <w:gridCol w:w="795"/>
        <w:gridCol w:w="339"/>
        <w:gridCol w:w="621"/>
        <w:gridCol w:w="1125"/>
        <w:gridCol w:w="341"/>
        <w:gridCol w:w="484"/>
        <w:gridCol w:w="111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项目名称</w:t>
            </w:r>
          </w:p>
        </w:tc>
        <w:tc>
          <w:tcPr>
            <w:tcW w:w="7309"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lang w:eastAsia="zh-CN"/>
              </w:rPr>
              <w:t>三江侗天宫景区项目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建设规模</w:t>
            </w:r>
          </w:p>
        </w:tc>
        <w:tc>
          <w:tcPr>
            <w:tcW w:w="2551" w:type="dxa"/>
            <w:gridSpan w:val="4"/>
            <w:vMerge w:val="restart"/>
            <w:vAlign w:val="center"/>
          </w:tcPr>
          <w:p>
            <w:pPr>
              <w:keepNext w:val="0"/>
              <w:keepLines w:val="0"/>
              <w:pageBreakBefore w:val="0"/>
              <w:widowControl w:val="0"/>
              <w:tabs>
                <w:tab w:val="left" w:pos="638"/>
              </w:tabs>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项目总占地面积为1.56hm</w:t>
            </w:r>
            <w:r>
              <w:rPr>
                <w:rFonts w:hint="eastAsia" w:ascii="Times New Roman" w:hAnsi="Times New Roman" w:eastAsia="仿宋" w:cs="Times New Roman"/>
                <w:color w:val="auto"/>
                <w:sz w:val="21"/>
                <w:szCs w:val="21"/>
                <w:vertAlign w:val="superscript"/>
                <w:lang w:val="en-US" w:eastAsia="zh-CN"/>
              </w:rPr>
              <w:t>2</w:t>
            </w:r>
            <w:r>
              <w:rPr>
                <w:rFonts w:hint="eastAsia" w:ascii="Times New Roman" w:hAnsi="Times New Roman" w:eastAsia="仿宋" w:cs="Times New Roman"/>
                <w:color w:val="auto"/>
                <w:sz w:val="21"/>
                <w:szCs w:val="21"/>
                <w:vertAlign w:val="baseline"/>
                <w:lang w:val="en-US" w:eastAsia="zh-CN"/>
              </w:rPr>
              <w:t>。总建筑面积为14471.35m</w:t>
            </w:r>
            <w:r>
              <w:rPr>
                <w:rFonts w:hint="eastAsia" w:ascii="Times New Roman" w:hAnsi="Times New Roman" w:eastAsia="仿宋" w:cs="Times New Roman"/>
                <w:color w:val="auto"/>
                <w:sz w:val="21"/>
                <w:szCs w:val="21"/>
                <w:vertAlign w:val="superscript"/>
                <w:lang w:val="en-US" w:eastAsia="zh-CN"/>
              </w:rPr>
              <w:t>2</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建设单位</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三江县福达文旅有限公司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建设地点</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三江侗族自治县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所属流域</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工程总投资</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6000</w:t>
            </w:r>
            <w:r>
              <w:rPr>
                <w:rFonts w:hint="default" w:ascii="Times New Roman" w:hAnsi="Times New Roman" w:eastAsia="仿宋"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工程总工期</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21</w:t>
            </w:r>
            <w:r>
              <w:rPr>
                <w:rFonts w:hint="default" w:ascii="Times New Roman" w:hAnsi="Times New Roman" w:eastAsia="仿宋" w:cs="Times New Roman"/>
                <w:color w:val="auto"/>
                <w:sz w:val="21"/>
                <w:szCs w:val="21"/>
                <w:vertAlign w:val="baseli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监测单位</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南宁赛伦沃特工程</w:t>
            </w:r>
            <w:r>
              <w:rPr>
                <w:rFonts w:hint="default" w:ascii="Times New Roman" w:hAnsi="Times New Roman" w:eastAsia="仿宋" w:cs="Times New Roman"/>
                <w:color w:val="auto"/>
                <w:sz w:val="21"/>
                <w:szCs w:val="21"/>
                <w:vertAlign w:val="baseline"/>
                <w:lang w:val="en-US" w:eastAsia="zh-CN"/>
              </w:rPr>
              <w:t>咨询有限公司</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联系人及电话</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潘月华</w:t>
            </w:r>
            <w:r>
              <w:rPr>
                <w:rFonts w:hint="default" w:ascii="Times New Roman" w:hAnsi="Times New Roman" w:eastAsia="仿宋" w:cs="Times New Roman"/>
                <w:color w:val="auto"/>
                <w:sz w:val="21"/>
                <w:szCs w:val="21"/>
                <w:vertAlign w:val="baseline"/>
                <w:lang w:val="en-US" w:eastAsia="zh-CN"/>
              </w:rPr>
              <w:t>13367808550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自然地理类型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丘陵地貌</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防治标准</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w:t>
            </w: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1.水土流失状况监测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地面观测和调查监测</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2.防治责任范围监测</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3.水土保持措施情况监测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4.防治措施效果监测</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5.水土流失危害监测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现场巡查</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水土流失背景值</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方案设计防治责任范围</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1.56</w:t>
            </w:r>
            <w:r>
              <w:rPr>
                <w:rFonts w:hint="default" w:ascii="Times New Roman" w:hAnsi="Times New Roman" w:eastAsia="仿宋" w:cs="Times New Roman"/>
                <w:color w:val="auto"/>
                <w:sz w:val="21"/>
                <w:szCs w:val="21"/>
                <w:vertAlign w:val="baseline"/>
                <w:lang w:val="en-US" w:eastAsia="zh-CN"/>
              </w:rPr>
              <w:t xml:space="preserve">hm </w:t>
            </w:r>
            <w:r>
              <w:rPr>
                <w:rFonts w:hint="default" w:ascii="Times New Roman" w:hAnsi="Times New Roman" w:eastAsia="仿宋" w:cs="Times New Roman"/>
                <w:color w:val="auto"/>
                <w:sz w:val="21"/>
                <w:szCs w:val="21"/>
                <w:vertAlign w:val="superscript"/>
                <w:lang w:val="en-US" w:eastAsia="zh-CN"/>
              </w:rPr>
              <w:t>2</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w:t>
            </w:r>
            <w:r>
              <w:rPr>
                <w:rFonts w:hint="eastAsia" w:ascii="Times New Roman" w:hAnsi="Times New Roman" w:eastAsia="仿宋" w:cs="Times New Roman"/>
                <w:color w:val="auto"/>
                <w:sz w:val="21"/>
                <w:szCs w:val="21"/>
                <w:vertAlign w:val="baseline"/>
                <w:lang w:val="en-US" w:eastAsia="zh-CN"/>
              </w:rPr>
              <w:t>实际</w:t>
            </w:r>
            <w:r>
              <w:rPr>
                <w:rFonts w:hint="default" w:ascii="Times New Roman" w:hAnsi="Times New Roman" w:eastAsia="仿宋" w:cs="Times New Roman"/>
                <w:color w:val="auto"/>
                <w:sz w:val="21"/>
                <w:szCs w:val="21"/>
                <w:vertAlign w:val="baseline"/>
                <w:lang w:val="en-US" w:eastAsia="zh-CN"/>
              </w:rPr>
              <w:t>投资</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94.08</w:t>
            </w:r>
            <w:r>
              <w:rPr>
                <w:rFonts w:hint="default" w:ascii="Times New Roman" w:hAnsi="Times New Roman" w:eastAsia="仿宋" w:cs="Times New Roman"/>
                <w:color w:val="auto"/>
                <w:sz w:val="21"/>
                <w:szCs w:val="21"/>
                <w:vertAlign w:val="baseline"/>
                <w:lang w:val="en-US" w:eastAsia="zh-CN"/>
              </w:rPr>
              <w:t>万元</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水土流失目标值</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防治措施</w:t>
            </w:r>
          </w:p>
        </w:tc>
        <w:tc>
          <w:tcPr>
            <w:tcW w:w="7309"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分类分级指标</w:t>
            </w:r>
          </w:p>
        </w:tc>
        <w:tc>
          <w:tcPr>
            <w:tcW w:w="768"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目标值</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达到值</w:t>
            </w:r>
          </w:p>
        </w:tc>
        <w:tc>
          <w:tcPr>
            <w:tcW w:w="5892"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水土流失治理度</w:t>
            </w:r>
          </w:p>
        </w:tc>
        <w:tc>
          <w:tcPr>
            <w:tcW w:w="768"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97%</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98.25%</w:t>
            </w:r>
          </w:p>
        </w:tc>
        <w:tc>
          <w:tcPr>
            <w:tcW w:w="79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措施</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96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0.43</w:t>
            </w:r>
            <w:r>
              <w:rPr>
                <w:rFonts w:hint="default" w:ascii="Times New Roman" w:hAnsi="Times New Roman" w:eastAsia="仿宋" w:cs="Times New Roman"/>
                <w:color w:val="auto"/>
                <w:sz w:val="21"/>
                <w:szCs w:val="21"/>
                <w:vertAlign w:val="baseline"/>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1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建筑物及硬化面积</w:t>
            </w:r>
          </w:p>
        </w:tc>
        <w:tc>
          <w:tcPr>
            <w:tcW w:w="82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superscript"/>
                <w:lang w:val="en-US" w:eastAsia="zh-CN"/>
              </w:rPr>
            </w:pPr>
            <w:r>
              <w:rPr>
                <w:rFonts w:hint="eastAsia" w:ascii="Times New Roman" w:hAnsi="Times New Roman" w:eastAsia="仿宋" w:cs="Times New Roman"/>
                <w:color w:val="auto"/>
                <w:sz w:val="18"/>
                <w:szCs w:val="18"/>
                <w:vertAlign w:val="baseline"/>
                <w:lang w:val="en-US" w:eastAsia="zh-CN"/>
              </w:rPr>
              <w:t>1.12</w:t>
            </w:r>
            <w:r>
              <w:rPr>
                <w:rFonts w:hint="default" w:ascii="Times New Roman" w:hAnsi="Times New Roman" w:eastAsia="仿宋" w:cs="Times New Roman"/>
                <w:color w:val="auto"/>
                <w:sz w:val="18"/>
                <w:szCs w:val="18"/>
                <w:vertAlign w:val="baseline"/>
                <w:lang w:val="en-US" w:eastAsia="zh-CN"/>
              </w:rPr>
              <w:t>hm</w:t>
            </w:r>
            <w:r>
              <w:rPr>
                <w:rFonts w:hint="default" w:ascii="Times New Roman" w:hAnsi="Times New Roman" w:eastAsia="仿宋" w:cs="Times New Roman"/>
                <w:color w:val="auto"/>
                <w:sz w:val="18"/>
                <w:szCs w:val="18"/>
                <w:vertAlign w:val="superscript"/>
                <w:lang w:val="en-US" w:eastAsia="zh-CN"/>
              </w:rPr>
              <w:t>2</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扰动地表</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107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1.56</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土壤流失控制比</w:t>
            </w:r>
          </w:p>
        </w:tc>
        <w:tc>
          <w:tcPr>
            <w:tcW w:w="768"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w:t>
            </w:r>
          </w:p>
        </w:tc>
        <w:tc>
          <w:tcPr>
            <w:tcW w:w="175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防治责任范围面积</w:t>
            </w:r>
          </w:p>
        </w:tc>
        <w:tc>
          <w:tcPr>
            <w:tcW w:w="11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1.56</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9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水土流失面积</w:t>
            </w:r>
          </w:p>
        </w:tc>
        <w:tc>
          <w:tcPr>
            <w:tcW w:w="107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0.44</w:t>
            </w:r>
            <w:r>
              <w:rPr>
                <w:rFonts w:hint="default" w:ascii="Times New Roman" w:hAnsi="Times New Roman" w:eastAsia="仿宋" w:cs="Times New Roman"/>
                <w:color w:val="auto"/>
                <w:sz w:val="21"/>
                <w:szCs w:val="21"/>
                <w:vertAlign w:val="baseline"/>
                <w:lang w:val="en-US" w:eastAsia="zh-CN"/>
              </w:rPr>
              <w:t xml:space="preserve">hm </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渣土防护率</w:t>
            </w:r>
          </w:p>
        </w:tc>
        <w:tc>
          <w:tcPr>
            <w:tcW w:w="768"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c>
          <w:tcPr>
            <w:tcW w:w="175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工程措施面积</w:t>
            </w:r>
          </w:p>
        </w:tc>
        <w:tc>
          <w:tcPr>
            <w:tcW w:w="11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0.05</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9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107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表土保护率</w:t>
            </w:r>
          </w:p>
        </w:tc>
        <w:tc>
          <w:tcPr>
            <w:tcW w:w="768"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c>
          <w:tcPr>
            <w:tcW w:w="175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植物措施面积</w:t>
            </w:r>
          </w:p>
        </w:tc>
        <w:tc>
          <w:tcPr>
            <w:tcW w:w="11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0.38</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9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rPr>
              <w:t>监测土壤流失情况</w:t>
            </w:r>
          </w:p>
        </w:tc>
        <w:tc>
          <w:tcPr>
            <w:tcW w:w="107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林草植被恢复率</w:t>
            </w:r>
          </w:p>
        </w:tc>
        <w:tc>
          <w:tcPr>
            <w:tcW w:w="768"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96%</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100%</w:t>
            </w:r>
          </w:p>
        </w:tc>
        <w:tc>
          <w:tcPr>
            <w:tcW w:w="175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可恢复林草植被面积</w:t>
            </w:r>
          </w:p>
        </w:tc>
        <w:tc>
          <w:tcPr>
            <w:tcW w:w="11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0.39</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 xml:space="preserve">2 </w:t>
            </w:r>
          </w:p>
        </w:tc>
        <w:tc>
          <w:tcPr>
            <w:tcW w:w="19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林草类植被面积</w:t>
            </w:r>
          </w:p>
        </w:tc>
        <w:tc>
          <w:tcPr>
            <w:tcW w:w="107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0.38</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林草覆盖率</w:t>
            </w:r>
          </w:p>
        </w:tc>
        <w:tc>
          <w:tcPr>
            <w:tcW w:w="768"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23%</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32.69%</w:t>
            </w:r>
          </w:p>
        </w:tc>
        <w:tc>
          <w:tcPr>
            <w:tcW w:w="175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实际拦渣量</w:t>
            </w:r>
          </w:p>
        </w:tc>
        <w:tc>
          <w:tcPr>
            <w:tcW w:w="11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c>
          <w:tcPr>
            <w:tcW w:w="19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弃渣量</w:t>
            </w:r>
          </w:p>
        </w:tc>
        <w:tc>
          <w:tcPr>
            <w:tcW w:w="107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水土保持治理达标评价</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    水土保持工程措施布置基本完善，但部分排水设施存在堵塞和开裂的现象，植被恢复情况较好，部分道路边坡存在少部分裸露面。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总体结论</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措施实施以后，工程得到有效防护，扰动地表植被得到恢复，暴徒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主要建议</w:t>
            </w:r>
          </w:p>
        </w:tc>
        <w:tc>
          <w:tcPr>
            <w:tcW w:w="8757" w:type="dxa"/>
            <w:gridSpan w:val="12"/>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建议工程主管部门继续作好水土保持植物措施的实施工作，及时修缮损坏的水保设施，对已实施的植物措施进行补植和养护，控制区域水土流失的发生，保证水土保持设施的正常运行。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auto"/>
          <w:sz w:val="24"/>
          <w:szCs w:val="24"/>
          <w:lang w:val="en-US" w:eastAsia="zh-CN"/>
        </w:rPr>
        <w:sectPr>
          <w:headerReference r:id="rId7" w:type="default"/>
          <w:footerReference r:id="rId8" w:type="default"/>
          <w:pgSz w:w="11923" w:h="16838"/>
          <w:pgMar w:top="1140" w:right="1321" w:bottom="1202" w:left="1298" w:header="567" w:footer="850" w:gutter="0"/>
          <w:pgNumType w:fmt="decimal" w:start="1"/>
          <w:cols w:space="425"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auto"/>
          <w:spacing w:val="0"/>
          <w:w w:val="100"/>
          <w:sz w:val="30"/>
          <w:szCs w:val="30"/>
        </w:rPr>
      </w:pPr>
      <w:bookmarkStart w:id="2" w:name="_Toc8181"/>
      <w:bookmarkStart w:id="3" w:name="_Toc32492"/>
      <w:r>
        <w:rPr>
          <w:rFonts w:hint="default" w:ascii="Times New Roman" w:hAnsi="Times New Roman" w:eastAsia="Times New Roman" w:cs="Times New Roman"/>
          <w:b/>
          <w:bCs/>
          <w:color w:val="auto"/>
          <w:spacing w:val="0"/>
          <w:w w:val="100"/>
          <w:position w:val="0"/>
          <w:sz w:val="32"/>
          <w:szCs w:val="32"/>
        </w:rPr>
        <w:t>1</w:t>
      </w:r>
      <w:r>
        <w:rPr>
          <w:rFonts w:hint="default" w:ascii="Times New Roman" w:hAnsi="Times New Roman" w:eastAsia="Times New Roman"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建设项目及水土保持工</w:t>
      </w:r>
      <w:r>
        <w:rPr>
          <w:rFonts w:hint="default" w:ascii="Times New Roman" w:hAnsi="Times New Roman" w:eastAsia="仿宋" w:cs="Times New Roman"/>
          <w:b/>
          <w:bCs/>
          <w:color w:val="auto"/>
          <w:spacing w:val="3"/>
          <w:w w:val="99"/>
          <w:position w:val="0"/>
          <w:sz w:val="32"/>
          <w:szCs w:val="32"/>
        </w:rPr>
        <w:t>作</w:t>
      </w:r>
      <w:r>
        <w:rPr>
          <w:rFonts w:hint="default" w:ascii="Times New Roman" w:hAnsi="Times New Roman" w:eastAsia="仿宋" w:cs="Times New Roman"/>
          <w:b/>
          <w:bCs/>
          <w:color w:val="auto"/>
          <w:spacing w:val="2"/>
          <w:w w:val="99"/>
          <w:position w:val="0"/>
          <w:sz w:val="32"/>
          <w:szCs w:val="32"/>
        </w:rPr>
        <w:t>概况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Times New Roman" w:hAnsi="Times New Roman" w:eastAsia="仿宋" w:cs="Times New Roman"/>
          <w:b/>
          <w:bCs/>
          <w:color w:val="auto"/>
          <w:spacing w:val="0"/>
          <w:w w:val="100"/>
          <w:sz w:val="30"/>
          <w:szCs w:val="30"/>
          <w:lang w:val="en-US" w:eastAsia="zh-CN"/>
        </w:rPr>
      </w:pPr>
      <w:bookmarkStart w:id="4" w:name="_Toc11828"/>
      <w:bookmarkStart w:id="5" w:name="_Toc5582"/>
      <w:r>
        <w:rPr>
          <w:rFonts w:hint="eastAsia" w:ascii="Times New Roman" w:hAnsi="Times New Roman" w:eastAsia="宋体" w:cs="Times New Roman"/>
          <w:b/>
          <w:bCs/>
          <w:color w:val="auto"/>
          <w:spacing w:val="0"/>
          <w:w w:val="100"/>
          <w:sz w:val="30"/>
          <w:szCs w:val="30"/>
          <w:lang w:val="en-US" w:eastAsia="zh-CN"/>
        </w:rPr>
        <w:t xml:space="preserve">1.1 </w:t>
      </w:r>
      <w:r>
        <w:rPr>
          <w:rFonts w:hint="default" w:ascii="Times New Roman" w:hAnsi="Times New Roman" w:eastAsia="Times New Roman" w:cs="Times New Roman"/>
          <w:b/>
          <w:bCs/>
          <w:color w:val="auto"/>
          <w:spacing w:val="0"/>
          <w:w w:val="100"/>
          <w:sz w:val="30"/>
          <w:szCs w:val="30"/>
        </w:rPr>
        <w:t xml:space="preserve"> </w:t>
      </w:r>
      <w:r>
        <w:rPr>
          <w:rFonts w:hint="default" w:ascii="Times New Roman" w:hAnsi="Times New Roman" w:eastAsia="仿宋" w:cs="Times New Roman"/>
          <w:b/>
          <w:bCs/>
          <w:color w:val="auto"/>
          <w:spacing w:val="2"/>
          <w:w w:val="100"/>
          <w:sz w:val="30"/>
          <w:szCs w:val="30"/>
        </w:rPr>
        <w:t>项目</w:t>
      </w:r>
      <w:r>
        <w:rPr>
          <w:rFonts w:hint="default" w:ascii="Times New Roman" w:hAnsi="Times New Roman" w:eastAsia="仿宋" w:cs="Times New Roman"/>
          <w:b/>
          <w:bCs/>
          <w:color w:val="auto"/>
          <w:spacing w:val="0"/>
          <w:w w:val="100"/>
          <w:sz w:val="30"/>
          <w:szCs w:val="30"/>
        </w:rPr>
        <w:t>基</w:t>
      </w:r>
      <w:r>
        <w:rPr>
          <w:rFonts w:hint="default" w:ascii="Times New Roman" w:hAnsi="Times New Roman" w:eastAsia="仿宋" w:cs="Times New Roman"/>
          <w:b/>
          <w:bCs/>
          <w:color w:val="auto"/>
          <w:spacing w:val="2"/>
          <w:w w:val="100"/>
          <w:sz w:val="30"/>
          <w:szCs w:val="30"/>
        </w:rPr>
        <w:t>本</w:t>
      </w:r>
      <w:r>
        <w:rPr>
          <w:rFonts w:hint="default" w:ascii="Times New Roman" w:hAnsi="Times New Roman" w:eastAsia="仿宋" w:cs="Times New Roman"/>
          <w:b/>
          <w:bCs/>
          <w:color w:val="auto"/>
          <w:spacing w:val="0"/>
          <w:w w:val="100"/>
          <w:sz w:val="30"/>
          <w:szCs w:val="30"/>
        </w:rPr>
        <w:t>情况</w:t>
      </w:r>
      <w:bookmarkEnd w:id="4"/>
      <w:bookmarkEnd w:id="5"/>
      <w:r>
        <w:rPr>
          <w:rFonts w:hint="eastAsia" w:ascii="Times New Roman" w:hAnsi="Times New Roman" w:eastAsia="仿宋" w:cs="Times New Roman"/>
          <w:b/>
          <w:bCs/>
          <w:color w:val="auto"/>
          <w:spacing w:val="0"/>
          <w:w w:val="100"/>
          <w:sz w:val="30"/>
          <w:szCs w:val="30"/>
          <w:lang w:val="en-US" w:eastAsia="zh-CN"/>
        </w:rPr>
        <w:tab/>
      </w:r>
    </w:p>
    <w:p>
      <w:pPr>
        <w:spacing w:line="360" w:lineRule="auto"/>
        <w:ind w:firstLine="480" w:firstLineChars="200"/>
        <w:rPr>
          <w:rFonts w:hint="default" w:ascii="Times New Roman" w:hAnsi="Times New Roman" w:eastAsia="仿宋_GB2312" w:cs="Times New Roman"/>
          <w:color w:val="auto"/>
          <w:sz w:val="24"/>
          <w:szCs w:val="24"/>
          <w:highlight w:val="none"/>
          <w:lang w:eastAsia="zh-CN"/>
        </w:rPr>
      </w:pPr>
      <w:r>
        <w:rPr>
          <w:rFonts w:hint="eastAsia" w:ascii="Times New Roman" w:hAnsi="Times New Roman" w:eastAsia="仿宋_GB2312" w:cs="Times New Roman"/>
          <w:color w:val="auto"/>
          <w:sz w:val="24"/>
          <w:szCs w:val="24"/>
          <w:highlight w:val="none"/>
          <w:lang w:eastAsia="zh-CN"/>
        </w:rPr>
        <w:t>三江侗天宫景区项目</w:t>
      </w:r>
      <w:r>
        <w:rPr>
          <w:rFonts w:hint="default" w:ascii="Times New Roman" w:hAnsi="Times New Roman" w:eastAsia="仿宋_GB2312" w:cs="Times New Roman"/>
          <w:color w:val="auto"/>
          <w:sz w:val="24"/>
          <w:szCs w:val="24"/>
          <w:highlight w:val="none"/>
          <w:lang w:eastAsia="zh-CN"/>
        </w:rPr>
        <w:t>位于</w:t>
      </w:r>
      <w:r>
        <w:rPr>
          <w:rFonts w:hint="eastAsia" w:ascii="Times New Roman" w:hAnsi="Times New Roman" w:eastAsia="仿宋_GB2312" w:cs="Times New Roman"/>
          <w:color w:val="auto"/>
          <w:sz w:val="24"/>
          <w:szCs w:val="24"/>
          <w:highlight w:val="none"/>
          <w:lang w:eastAsia="zh-CN"/>
        </w:rPr>
        <w:t>三江侗族自治县古宜镇江峰街三江侗族博物馆旁</w:t>
      </w:r>
      <w:r>
        <w:rPr>
          <w:rFonts w:hint="default" w:ascii="Times New Roman" w:hAnsi="Times New Roman" w:eastAsia="仿宋_GB2312" w:cs="Times New Roman"/>
          <w:color w:val="auto"/>
          <w:sz w:val="24"/>
          <w:szCs w:val="24"/>
          <w:highlight w:val="none"/>
          <w:lang w:eastAsia="zh-CN"/>
        </w:rPr>
        <w:t>。用地中心地理坐标为</w:t>
      </w:r>
      <w:r>
        <w:rPr>
          <w:rFonts w:hint="eastAsia" w:ascii="Times New Roman" w:hAnsi="Times New Roman" w:eastAsia="仿宋_GB2312" w:cs="Times New Roman"/>
          <w:color w:val="auto"/>
          <w:sz w:val="24"/>
          <w:szCs w:val="24"/>
          <w:highlight w:val="none"/>
          <w:lang w:eastAsia="zh-CN"/>
        </w:rPr>
        <w:t>第一地块</w:t>
      </w:r>
      <w:r>
        <w:rPr>
          <w:rFonts w:hint="default" w:ascii="Times New Roman" w:hAnsi="Times New Roman" w:eastAsia="仿宋_GB2312" w:cs="Times New Roman"/>
          <w:color w:val="auto"/>
          <w:sz w:val="24"/>
          <w:szCs w:val="24"/>
          <w:highlight w:val="none"/>
          <w:lang w:eastAsia="zh-CN"/>
        </w:rPr>
        <w:t>东经</w:t>
      </w:r>
      <w:r>
        <w:rPr>
          <w:rFonts w:hint="eastAsia" w:ascii="Times New Roman" w:hAnsi="Times New Roman" w:eastAsia="仿宋_GB2312" w:cs="Times New Roman"/>
          <w:color w:val="auto"/>
          <w:sz w:val="24"/>
          <w:szCs w:val="24"/>
          <w:highlight w:val="none"/>
          <w:lang w:val="en-US" w:eastAsia="zh-CN"/>
        </w:rPr>
        <w:t>109</w:t>
      </w:r>
      <w:r>
        <w:rPr>
          <w:rFonts w:hint="default"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60</w:t>
      </w:r>
      <w:r>
        <w:rPr>
          <w:rFonts w:hint="default"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68.62</w:t>
      </w:r>
      <w:r>
        <w:rPr>
          <w:rFonts w:hint="default" w:ascii="Times New Roman" w:hAnsi="Times New Roman" w:eastAsia="仿宋_GB2312" w:cs="Times New Roman"/>
          <w:color w:val="auto"/>
          <w:sz w:val="24"/>
          <w:szCs w:val="24"/>
          <w:highlight w:val="none"/>
          <w:lang w:eastAsia="zh-CN"/>
        </w:rPr>
        <w:t>"，北纬</w:t>
      </w:r>
      <w:r>
        <w:rPr>
          <w:rFonts w:hint="eastAsia" w:ascii="Times New Roman" w:hAnsi="Times New Roman" w:eastAsia="仿宋_GB2312" w:cs="Times New Roman"/>
          <w:color w:val="auto"/>
          <w:sz w:val="24"/>
          <w:szCs w:val="24"/>
          <w:highlight w:val="none"/>
          <w:lang w:val="en-US" w:eastAsia="zh-CN"/>
        </w:rPr>
        <w:t>25</w:t>
      </w:r>
      <w:r>
        <w:rPr>
          <w:rFonts w:hint="default"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78</w:t>
      </w:r>
      <w:r>
        <w:rPr>
          <w:rFonts w:hint="default"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53.13</w:t>
      </w:r>
      <w:r>
        <w:rPr>
          <w:rFonts w:hint="default"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eastAsia="zh-CN"/>
        </w:rPr>
        <w:t>；第二地块</w:t>
      </w:r>
      <w:r>
        <w:rPr>
          <w:rFonts w:hint="default" w:ascii="Times New Roman" w:hAnsi="Times New Roman" w:eastAsia="仿宋_GB2312" w:cs="Times New Roman"/>
          <w:color w:val="auto"/>
          <w:sz w:val="24"/>
          <w:szCs w:val="24"/>
          <w:highlight w:val="none"/>
          <w:lang w:eastAsia="zh-CN"/>
        </w:rPr>
        <w:t>东经</w:t>
      </w:r>
      <w:r>
        <w:rPr>
          <w:rFonts w:hint="eastAsia" w:ascii="Times New Roman" w:hAnsi="Times New Roman" w:eastAsia="仿宋_GB2312" w:cs="Times New Roman"/>
          <w:color w:val="auto"/>
          <w:sz w:val="24"/>
          <w:szCs w:val="24"/>
          <w:highlight w:val="none"/>
          <w:lang w:val="en-US" w:eastAsia="zh-CN"/>
        </w:rPr>
        <w:t>109</w:t>
      </w:r>
      <w:r>
        <w:rPr>
          <w:rFonts w:hint="default"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60</w:t>
      </w:r>
      <w:r>
        <w:rPr>
          <w:rFonts w:hint="default"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68.73</w:t>
      </w:r>
      <w:r>
        <w:rPr>
          <w:rFonts w:hint="default" w:ascii="Times New Roman" w:hAnsi="Times New Roman" w:eastAsia="仿宋_GB2312" w:cs="Times New Roman"/>
          <w:color w:val="auto"/>
          <w:sz w:val="24"/>
          <w:szCs w:val="24"/>
          <w:highlight w:val="none"/>
          <w:lang w:eastAsia="zh-CN"/>
        </w:rPr>
        <w:t>"，北纬</w:t>
      </w:r>
      <w:r>
        <w:rPr>
          <w:rFonts w:hint="eastAsia" w:ascii="Times New Roman" w:hAnsi="Times New Roman" w:eastAsia="仿宋_GB2312" w:cs="Times New Roman"/>
          <w:color w:val="auto"/>
          <w:sz w:val="24"/>
          <w:szCs w:val="24"/>
          <w:highlight w:val="none"/>
          <w:lang w:val="en-US" w:eastAsia="zh-CN"/>
        </w:rPr>
        <w:t>25</w:t>
      </w:r>
      <w:r>
        <w:rPr>
          <w:rFonts w:hint="default"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78</w:t>
      </w:r>
      <w:r>
        <w:rPr>
          <w:rFonts w:hint="default"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56.27</w:t>
      </w:r>
      <w:r>
        <w:rPr>
          <w:rFonts w:hint="default"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lang w:eastAsia="zh-CN"/>
        </w:rPr>
        <w:t>项目</w:t>
      </w:r>
      <w:r>
        <w:rPr>
          <w:rFonts w:hint="default" w:ascii="Times New Roman" w:hAnsi="Times New Roman" w:eastAsia="仿宋_GB2312" w:cs="Times New Roman"/>
          <w:color w:val="auto"/>
          <w:sz w:val="24"/>
          <w:szCs w:val="24"/>
          <w:lang w:eastAsia="zh-CN"/>
        </w:rPr>
        <w:t>施工时可</w:t>
      </w:r>
      <w:r>
        <w:rPr>
          <w:rFonts w:hint="eastAsia" w:ascii="Times New Roman" w:hAnsi="Times New Roman" w:eastAsia="仿宋_GB2312" w:cs="Times New Roman"/>
          <w:color w:val="auto"/>
          <w:sz w:val="24"/>
          <w:szCs w:val="24"/>
          <w:lang w:eastAsia="zh-CN"/>
        </w:rPr>
        <w:t>利用江峰南路</w:t>
      </w:r>
      <w:r>
        <w:rPr>
          <w:rFonts w:hint="default" w:ascii="Times New Roman" w:hAnsi="Times New Roman" w:eastAsia="仿宋_GB2312" w:cs="Times New Roman"/>
          <w:color w:val="auto"/>
          <w:sz w:val="24"/>
          <w:szCs w:val="24"/>
          <w:lang w:eastAsia="zh-CN"/>
        </w:rPr>
        <w:t>进行运输</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highlight w:val="none"/>
          <w:lang w:eastAsia="zh-CN"/>
        </w:rPr>
        <w:t>项目所在区域交通便利。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根据项目建设内容，本工程由建构筑物区、道路绿化区等组成</w:t>
      </w:r>
      <w:r>
        <w:rPr>
          <w:rFonts w:hint="eastAsia" w:ascii="Times New Roman" w:hAnsi="Times New Roman" w:eastAsia="仿宋" w:cs="Times New Roman"/>
          <w:color w:val="auto"/>
          <w:spacing w:val="0"/>
          <w:w w:val="100"/>
          <w:sz w:val="24"/>
          <w:szCs w:val="24"/>
          <w:lang w:val="en-US" w:eastAsia="zh-CN"/>
        </w:rPr>
        <w:t>。本工程总占地面积1.56hm</w:t>
      </w:r>
      <w:r>
        <w:rPr>
          <w:rFonts w:hint="eastAsia" w:ascii="Times New Roman" w:hAnsi="Times New Roman" w:eastAsia="仿宋" w:cs="Times New Roman"/>
          <w:color w:val="auto"/>
          <w:spacing w:val="0"/>
          <w:w w:val="100"/>
          <w:sz w:val="24"/>
          <w:szCs w:val="24"/>
          <w:vertAlign w:val="superscript"/>
          <w:lang w:val="en-US" w:eastAsia="zh-CN"/>
        </w:rPr>
        <w:t>2</w:t>
      </w:r>
      <w:r>
        <w:rPr>
          <w:rFonts w:hint="eastAsia" w:ascii="Times New Roman" w:hAnsi="Times New Roman" w:eastAsia="仿宋" w:cs="Times New Roman"/>
          <w:color w:val="auto"/>
          <w:spacing w:val="0"/>
          <w:w w:val="100"/>
          <w:sz w:val="24"/>
          <w:szCs w:val="24"/>
          <w:lang w:val="en-US" w:eastAsia="zh-CN"/>
        </w:rPr>
        <w:t>，其中永久占地1.56hm</w:t>
      </w:r>
      <w:r>
        <w:rPr>
          <w:rFonts w:hint="eastAsia" w:ascii="Times New Roman" w:hAnsi="Times New Roman" w:eastAsia="仿宋" w:cs="Times New Roman"/>
          <w:color w:val="auto"/>
          <w:spacing w:val="0"/>
          <w:w w:val="100"/>
          <w:sz w:val="24"/>
          <w:szCs w:val="24"/>
          <w:vertAlign w:val="superscript"/>
          <w:lang w:val="en-US" w:eastAsia="zh-CN"/>
        </w:rPr>
        <w:t>2</w:t>
      </w:r>
      <w:r>
        <w:rPr>
          <w:rFonts w:hint="eastAsia" w:ascii="Times New Roman" w:hAnsi="Times New Roman" w:eastAsia="仿宋" w:cs="Times New Roman"/>
          <w:color w:val="auto"/>
          <w:spacing w:val="0"/>
          <w:w w:val="100"/>
          <w:sz w:val="24"/>
          <w:szCs w:val="24"/>
          <w:lang w:val="en-US" w:eastAsia="zh-CN"/>
        </w:rPr>
        <w:t>，包括房建构筑物区、道路绿化区</w:t>
      </w:r>
      <w:r>
        <w:rPr>
          <w:rFonts w:hint="default" w:ascii="Times New Roman" w:hAnsi="Times New Roman" w:eastAsia="仿宋" w:cs="Times New Roman"/>
          <w:color w:val="auto"/>
          <w:spacing w:val="0"/>
          <w:w w:val="100"/>
          <w:sz w:val="24"/>
          <w:szCs w:val="24"/>
          <w:lang w:val="en-US" w:eastAsia="zh-CN"/>
        </w:rPr>
        <w:t>。工程建设过程中实际土石方挖方总量为</w:t>
      </w:r>
      <w:r>
        <w:rPr>
          <w:rFonts w:hint="eastAsia" w:ascii="Times New Roman" w:hAnsi="Times New Roman" w:eastAsia="仿宋" w:cs="Times New Roman"/>
          <w:color w:val="auto"/>
          <w:spacing w:val="0"/>
          <w:w w:val="100"/>
          <w:sz w:val="24"/>
          <w:szCs w:val="24"/>
          <w:lang w:val="en-US" w:eastAsia="zh-CN"/>
        </w:rPr>
        <w:t>1.48</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，填方</w:t>
      </w:r>
      <w:r>
        <w:rPr>
          <w:rFonts w:hint="eastAsia" w:ascii="Times New Roman" w:hAnsi="Times New Roman" w:eastAsia="仿宋" w:cs="Times New Roman"/>
          <w:color w:val="auto"/>
          <w:spacing w:val="0"/>
          <w:w w:val="100"/>
          <w:sz w:val="24"/>
          <w:szCs w:val="24"/>
          <w:lang w:val="en-US" w:eastAsia="zh-CN"/>
        </w:rPr>
        <w:t>1.48</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val="en-US" w:eastAsia="zh-CN"/>
        </w:rPr>
        <w:t>，无弃方。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工程于20</w:t>
      </w:r>
      <w:r>
        <w:rPr>
          <w:rFonts w:hint="eastAsia" w:ascii="Times New Roman" w:hAnsi="Times New Roman" w:eastAsia="仿宋" w:cs="Times New Roman"/>
          <w:color w:val="auto"/>
          <w:spacing w:val="0"/>
          <w:w w:val="100"/>
          <w:sz w:val="24"/>
          <w:szCs w:val="24"/>
          <w:lang w:val="en-US" w:eastAsia="zh-CN"/>
        </w:rPr>
        <w:t>19</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月开工</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月完工，工期共</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个月。工程实际总投资</w:t>
      </w:r>
      <w:r>
        <w:rPr>
          <w:rFonts w:hint="eastAsia" w:ascii="Times New Roman" w:hAnsi="Times New Roman" w:eastAsia="仿宋" w:cs="Times New Roman"/>
          <w:color w:val="auto"/>
          <w:spacing w:val="0"/>
          <w:w w:val="100"/>
          <w:sz w:val="24"/>
          <w:szCs w:val="24"/>
          <w:lang w:val="en-US" w:eastAsia="zh-CN"/>
        </w:rPr>
        <w:t>6000</w:t>
      </w:r>
      <w:r>
        <w:rPr>
          <w:rFonts w:hint="default" w:ascii="Times New Roman" w:hAnsi="Times New Roman" w:eastAsia="仿宋" w:cs="Times New Roman"/>
          <w:color w:val="auto"/>
          <w:spacing w:val="0"/>
          <w:w w:val="100"/>
          <w:sz w:val="24"/>
          <w:szCs w:val="24"/>
          <w:lang w:val="en-US" w:eastAsia="zh-CN"/>
        </w:rPr>
        <w:t>万元，土建投资</w:t>
      </w:r>
      <w:r>
        <w:rPr>
          <w:rFonts w:hint="eastAsia" w:ascii="Times New Roman" w:hAnsi="Times New Roman" w:eastAsia="仿宋" w:cs="Times New Roman"/>
          <w:color w:val="auto"/>
          <w:spacing w:val="0"/>
          <w:w w:val="100"/>
          <w:sz w:val="24"/>
          <w:szCs w:val="24"/>
          <w:lang w:val="en-US" w:eastAsia="zh-CN"/>
        </w:rPr>
        <w:t>4200</w:t>
      </w:r>
      <w:r>
        <w:rPr>
          <w:rFonts w:hint="default" w:ascii="Times New Roman" w:hAnsi="Times New Roman" w:eastAsia="仿宋" w:cs="Times New Roman"/>
          <w:color w:val="auto"/>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sz w:val="24"/>
          <w:szCs w:val="24"/>
          <w:lang w:val="en-US" w:eastAsia="zh-CN"/>
        </w:rPr>
        <w:t>本工程主要项目组成及其特性详见表1.1-1</w:t>
      </w:r>
    </w:p>
    <w:p>
      <w:pPr>
        <w:ind w:firstLine="480" w:firstLineChars="200"/>
        <w:jc w:val="left"/>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br w:type="page"/>
      </w:r>
    </w:p>
    <w:p>
      <w:pPr>
        <w:ind w:firstLine="480" w:firstLineChars="200"/>
        <w:jc w:val="left"/>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表 1.1-1</w:t>
      </w:r>
      <w:r>
        <w:rPr>
          <w:rFonts w:hint="eastAsia" w:ascii="Times New Roman" w:hAnsi="Times New Roman" w:eastAsia="仿宋" w:cs="Times New Roman"/>
          <w:color w:val="auto"/>
          <w:spacing w:val="0"/>
          <w:w w:val="100"/>
          <w:kern w:val="2"/>
          <w:sz w:val="24"/>
          <w:szCs w:val="24"/>
          <w:lang w:val="en-US" w:eastAsia="zh-CN" w:bidi="ar-SA"/>
        </w:rPr>
        <w:t xml:space="preserve">                     </w:t>
      </w:r>
      <w:r>
        <w:rPr>
          <w:rFonts w:hint="default" w:ascii="Times New Roman" w:hAnsi="Times New Roman" w:eastAsia="仿宋" w:cs="Times New Roman"/>
          <w:color w:val="auto"/>
          <w:spacing w:val="0"/>
          <w:w w:val="100"/>
          <w:kern w:val="2"/>
          <w:sz w:val="24"/>
          <w:szCs w:val="24"/>
          <w:lang w:val="en-US" w:eastAsia="zh-CN" w:bidi="ar-SA"/>
        </w:rPr>
        <w:t xml:space="preserve"> 主要经济技术指标表</w:t>
      </w:r>
    </w:p>
    <w:tbl>
      <w:tblPr>
        <w:tblStyle w:val="10"/>
        <w:tblpPr w:leftFromText="180" w:rightFromText="180" w:vertAnchor="text" w:horzAnchor="page" w:tblpXSpec="center" w:tblpY="42"/>
        <w:tblOverlap w:val="never"/>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275"/>
        <w:gridCol w:w="917"/>
        <w:gridCol w:w="607"/>
        <w:gridCol w:w="308"/>
        <w:gridCol w:w="1005"/>
        <w:gridCol w:w="211"/>
        <w:gridCol w:w="1524"/>
        <w:gridCol w:w="155"/>
        <w:gridCol w:w="1369"/>
        <w:gridCol w:w="146"/>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项目名称</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color w:val="auto"/>
                <w:sz w:val="21"/>
                <w:szCs w:val="21"/>
                <w:lang w:eastAsia="zh-CN"/>
              </w:rPr>
              <w:t>三江侗天宫景区项目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建设地点</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三江侗天宫自治区</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所在流域</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工程等别</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Ⅱ等</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工程性质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1"/>
                <w:szCs w:val="21"/>
                <w:u w:val="none"/>
                <w:lang w:val="en-US" w:eastAsia="zh-CN" w:bidi="ar"/>
              </w:rPr>
              <w:t>三江县福达文旅有限公司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投资单位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1"/>
                <w:szCs w:val="21"/>
                <w:u w:val="none"/>
                <w:lang w:val="en-US" w:eastAsia="zh-CN" w:bidi="ar"/>
              </w:rPr>
              <w:t>三江县福达文旅有限公司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建设规模</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_GB2312" w:cs="Times New Roman"/>
                <w:color w:val="auto"/>
                <w:sz w:val="21"/>
                <w:szCs w:val="21"/>
              </w:rPr>
              <w:t>项目</w:t>
            </w:r>
            <w:r>
              <w:rPr>
                <w:rFonts w:hint="eastAsia" w:ascii="Times New Roman" w:hAnsi="Times New Roman" w:eastAsia="仿宋_GB2312" w:cs="Times New Roman"/>
                <w:color w:val="auto"/>
                <w:sz w:val="21"/>
                <w:szCs w:val="21"/>
                <w:lang w:val="en-US" w:eastAsia="zh-CN"/>
              </w:rPr>
              <w:t>总占地</w:t>
            </w:r>
            <w:r>
              <w:rPr>
                <w:rFonts w:hint="default" w:ascii="Times New Roman" w:hAnsi="Times New Roman" w:eastAsia="仿宋_GB2312" w:cs="Times New Roman"/>
                <w:color w:val="auto"/>
                <w:sz w:val="21"/>
                <w:szCs w:val="21"/>
              </w:rPr>
              <w:t>面积为</w:t>
            </w:r>
            <w:r>
              <w:rPr>
                <w:rFonts w:hint="eastAsia" w:ascii="Times New Roman" w:hAnsi="Times New Roman" w:eastAsia="仿宋_GB2312" w:cs="Times New Roman"/>
                <w:i w:val="0"/>
                <w:color w:val="auto"/>
                <w:kern w:val="0"/>
                <w:sz w:val="21"/>
                <w:szCs w:val="21"/>
                <w:u w:val="none"/>
                <w:lang w:val="en-US" w:eastAsia="zh-CN" w:bidi="ar"/>
              </w:rPr>
              <w:t>1.56h</w:t>
            </w:r>
            <w:r>
              <w:rPr>
                <w:rFonts w:hint="default" w:ascii="Times New Roman" w:hAnsi="Times New Roman" w:eastAsia="仿宋_GB2312" w:cs="Times New Roman"/>
                <w:color w:val="auto"/>
                <w:sz w:val="21"/>
                <w:szCs w:val="21"/>
              </w:rPr>
              <w:t>m</w:t>
            </w:r>
            <w:r>
              <w:rPr>
                <w:rFonts w:hint="default" w:ascii="Times New Roman" w:hAnsi="Times New Roman" w:eastAsia="仿宋_GB2312" w:cs="Times New Roman"/>
                <w:color w:val="auto"/>
                <w:sz w:val="21"/>
                <w:szCs w:val="21"/>
                <w:vertAlign w:val="superscript"/>
              </w:rPr>
              <w:t>2</w:t>
            </w:r>
            <w:r>
              <w:rPr>
                <w:rFonts w:hint="eastAsia"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总建筑面积为</w:t>
            </w:r>
            <w:r>
              <w:rPr>
                <w:rFonts w:hint="eastAsia" w:ascii="Times New Roman" w:hAnsi="Times New Roman" w:eastAsia="仿宋_GB2312" w:cs="Times New Roman"/>
                <w:i w:val="0"/>
                <w:color w:val="auto"/>
                <w:kern w:val="0"/>
                <w:sz w:val="21"/>
                <w:szCs w:val="21"/>
                <w:u w:val="none"/>
                <w:lang w:val="en-US" w:eastAsia="zh-CN" w:bidi="ar"/>
              </w:rPr>
              <w:t>14471.35</w:t>
            </w:r>
            <w:r>
              <w:rPr>
                <w:rFonts w:hint="default" w:ascii="Times New Roman" w:hAnsi="Times New Roman" w:eastAsia="仿宋_GB2312" w:cs="Times New Roman"/>
                <w:color w:val="auto"/>
                <w:sz w:val="21"/>
                <w:szCs w:val="21"/>
              </w:rPr>
              <w:t>m</w:t>
            </w:r>
            <w:r>
              <w:rPr>
                <w:rFonts w:hint="default" w:ascii="Times New Roman" w:hAnsi="Times New Roman" w:eastAsia="仿宋_GB2312" w:cs="Times New Roman"/>
                <w:color w:val="auto"/>
                <w:sz w:val="21"/>
                <w:szCs w:val="21"/>
                <w:vertAlign w:val="superscript"/>
              </w:rPr>
              <w:t>2</w:t>
            </w:r>
            <w:r>
              <w:rPr>
                <w:rFonts w:hint="default" w:ascii="Times New Roman" w:hAnsi="Times New Roman" w:eastAsia="仿宋_GB2312" w:cs="Times New Roman"/>
                <w:color w:val="auto"/>
                <w:sz w:val="21"/>
                <w:szCs w:val="21"/>
              </w:rPr>
              <w:t>，</w:t>
            </w:r>
            <w:r>
              <w:rPr>
                <w:rFonts w:hint="eastAsia" w:ascii="Times New Roman" w:hAnsi="Times New Roman" w:eastAsia="仿宋_GB2312" w:cs="Times New Roman"/>
                <w:color w:val="auto"/>
                <w:sz w:val="21"/>
                <w:szCs w:val="21"/>
                <w:lang w:val="en-US" w:eastAsia="zh-CN"/>
              </w:rPr>
              <w:t>主要建设内容为新建侗天宫景区、商业街、第五季酒店、停车场等</w:t>
            </w:r>
            <w:r>
              <w:rPr>
                <w:rFonts w:hint="default" w:ascii="Times New Roman" w:hAnsi="Times New Roman" w:eastAsia="仿宋_GB2312" w:cs="Times New Roman"/>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7</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总投资</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6000万元</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土建投资</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4200</w:t>
            </w:r>
            <w:r>
              <w:rPr>
                <w:rFonts w:hint="default" w:ascii="Times New Roman" w:hAnsi="Times New Roman" w:eastAsia="仿宋" w:cs="Times New Roman"/>
                <w:i w:val="0"/>
                <w:color w:val="auto"/>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建设期</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工程于201</w:t>
            </w:r>
            <w:r>
              <w:rPr>
                <w:rFonts w:hint="eastAsia" w:ascii="Times New Roman" w:hAnsi="Times New Roman" w:eastAsia="仿宋" w:cs="Times New Roman"/>
                <w:i w:val="0"/>
                <w:color w:val="auto"/>
                <w:kern w:val="0"/>
                <w:sz w:val="21"/>
                <w:szCs w:val="21"/>
                <w:u w:val="none"/>
                <w:lang w:val="en-US" w:eastAsia="zh-CN" w:bidi="ar"/>
              </w:rPr>
              <w:t>9</w:t>
            </w:r>
            <w:r>
              <w:rPr>
                <w:rFonts w:hint="default" w:ascii="Times New Roman" w:hAnsi="Times New Roman" w:eastAsia="仿宋" w:cs="Times New Roman"/>
                <w:i w:val="0"/>
                <w:color w:val="auto"/>
                <w:kern w:val="0"/>
                <w:sz w:val="21"/>
                <w:szCs w:val="21"/>
                <w:u w:val="none"/>
                <w:lang w:val="en-US" w:eastAsia="zh-CN" w:bidi="ar"/>
              </w:rPr>
              <w:t>年</w:t>
            </w:r>
            <w:r>
              <w:rPr>
                <w:rFonts w:hint="eastAsia" w:ascii="Times New Roman" w:hAnsi="Times New Roman" w:eastAsia="仿宋" w:cs="Times New Roman"/>
                <w:i w:val="0"/>
                <w:color w:val="auto"/>
                <w:kern w:val="0"/>
                <w:sz w:val="21"/>
                <w:szCs w:val="21"/>
                <w:u w:val="none"/>
                <w:lang w:val="en-US" w:eastAsia="zh-CN" w:bidi="ar"/>
              </w:rPr>
              <w:t>4</w:t>
            </w:r>
            <w:r>
              <w:rPr>
                <w:rFonts w:hint="default" w:ascii="Times New Roman" w:hAnsi="Times New Roman" w:eastAsia="仿宋" w:cs="Times New Roman"/>
                <w:i w:val="0"/>
                <w:color w:val="auto"/>
                <w:kern w:val="0"/>
                <w:sz w:val="21"/>
                <w:szCs w:val="21"/>
                <w:u w:val="none"/>
                <w:lang w:val="en-US" w:eastAsia="zh-CN" w:bidi="ar"/>
              </w:rPr>
              <w:t>月开工，20</w:t>
            </w:r>
            <w:r>
              <w:rPr>
                <w:rFonts w:hint="eastAsia" w:ascii="Times New Roman" w:hAnsi="Times New Roman" w:eastAsia="仿宋" w:cs="Times New Roman"/>
                <w:i w:val="0"/>
                <w:color w:val="auto"/>
                <w:kern w:val="0"/>
                <w:sz w:val="21"/>
                <w:szCs w:val="21"/>
                <w:u w:val="none"/>
                <w:lang w:val="en-US" w:eastAsia="zh-CN" w:bidi="ar"/>
              </w:rPr>
              <w:t>20</w:t>
            </w:r>
            <w:r>
              <w:rPr>
                <w:rFonts w:hint="default" w:ascii="Times New Roman" w:hAnsi="Times New Roman" w:eastAsia="仿宋" w:cs="Times New Roman"/>
                <w:i w:val="0"/>
                <w:color w:val="auto"/>
                <w:kern w:val="0"/>
                <w:sz w:val="21"/>
                <w:szCs w:val="21"/>
                <w:u w:val="none"/>
                <w:lang w:val="en-US" w:eastAsia="zh-CN" w:bidi="ar"/>
              </w:rPr>
              <w:t>年</w:t>
            </w:r>
            <w:r>
              <w:rPr>
                <w:rFonts w:hint="eastAsia" w:ascii="Times New Roman" w:hAnsi="Times New Roman" w:eastAsia="仿宋" w:cs="Times New Roman"/>
                <w:i w:val="0"/>
                <w:color w:val="auto"/>
                <w:kern w:val="0"/>
                <w:sz w:val="21"/>
                <w:szCs w:val="21"/>
                <w:u w:val="none"/>
                <w:lang w:val="en-US" w:eastAsia="zh-CN" w:bidi="ar"/>
              </w:rPr>
              <w:t>12</w:t>
            </w:r>
            <w:r>
              <w:rPr>
                <w:rFonts w:hint="default" w:ascii="Times New Roman" w:hAnsi="Times New Roman" w:eastAsia="仿宋" w:cs="Times New Roman"/>
                <w:i w:val="0"/>
                <w:color w:val="auto"/>
                <w:kern w:val="0"/>
                <w:sz w:val="21"/>
                <w:szCs w:val="21"/>
                <w:u w:val="none"/>
                <w:lang w:val="en-US" w:eastAsia="zh-CN" w:bidi="ar"/>
              </w:rPr>
              <w:t>月建设完成，总工期</w:t>
            </w:r>
            <w:r>
              <w:rPr>
                <w:rFonts w:hint="eastAsia" w:ascii="Times New Roman" w:hAnsi="Times New Roman" w:eastAsia="仿宋" w:cs="Times New Roman"/>
                <w:i w:val="0"/>
                <w:color w:val="auto"/>
                <w:kern w:val="0"/>
                <w:sz w:val="21"/>
                <w:szCs w:val="21"/>
                <w:u w:val="none"/>
                <w:lang w:val="en-US" w:eastAsia="zh-CN" w:bidi="ar"/>
              </w:rPr>
              <w:t>21</w:t>
            </w:r>
            <w:r>
              <w:rPr>
                <w:rFonts w:hint="default" w:ascii="Times New Roman" w:hAnsi="Times New Roman" w:eastAsia="仿宋" w:cs="Times New Roman"/>
                <w:i w:val="0"/>
                <w:color w:val="auto"/>
                <w:kern w:val="0"/>
                <w:sz w:val="21"/>
                <w:szCs w:val="21"/>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6"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2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占地面积（hm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 xml:space="preserve"> ）</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主要项目名称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永久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小计</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建构筑物区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0.65</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0.65</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道路绿化区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0.91</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0.91</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施工生产生活区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 w:cs="Times New Roman"/>
                <w:i w:val="0"/>
                <w:color w:val="auto"/>
                <w:sz w:val="21"/>
                <w:szCs w:val="21"/>
                <w:u w:val="none"/>
                <w:lang w:val="en-US" w:eastAsia="zh-CN"/>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（0.03）</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1.56</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1.56</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三、项目土石方挖填工程量（万 m</w:t>
            </w:r>
            <w:r>
              <w:rPr>
                <w:rFonts w:hint="default" w:ascii="Times New Roman" w:hAnsi="Times New Roman" w:eastAsia="仿宋" w:cs="Times New Roman"/>
                <w:i w:val="0"/>
                <w:color w:val="auto"/>
                <w:kern w:val="0"/>
                <w:sz w:val="21"/>
                <w:szCs w:val="21"/>
                <w:u w:val="none"/>
                <w:vertAlign w:val="superscript"/>
                <w:lang w:val="en-US" w:eastAsia="zh-CN" w:bidi="ar"/>
              </w:rPr>
              <w:t xml:space="preserve"> 3</w:t>
            </w:r>
            <w:r>
              <w:rPr>
                <w:rFonts w:hint="default" w:ascii="Times New Roman" w:hAnsi="Times New Roman" w:eastAsia="仿宋" w:cs="Times New Roman"/>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挖方</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填方</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调出</w:t>
            </w:r>
            <w:r>
              <w:rPr>
                <w:rFonts w:hint="eastAsia" w:ascii="Times New Roman" w:hAnsi="Times New Roman" w:eastAsia="仿宋" w:cs="Times New Roman"/>
                <w:i w:val="0"/>
                <w:color w:val="auto"/>
                <w:kern w:val="0"/>
                <w:sz w:val="21"/>
                <w:szCs w:val="21"/>
                <w:u w:val="none"/>
                <w:lang w:val="en-US" w:eastAsia="zh-CN" w:bidi="ar"/>
              </w:rPr>
              <w:t>/调入</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eastAsia="zh-CN"/>
              </w:rPr>
            </w:pPr>
            <w:r>
              <w:rPr>
                <w:rFonts w:hint="eastAsia" w:ascii="Times New Roman" w:hAnsi="Times New Roman" w:eastAsia="仿宋" w:cs="Times New Roman"/>
                <w:i w:val="0"/>
                <w:color w:val="auto"/>
                <w:sz w:val="21"/>
                <w:szCs w:val="21"/>
                <w:u w:val="none"/>
                <w:lang w:eastAsia="zh-CN"/>
              </w:rPr>
              <w:t>借方</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弃渣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建构筑物区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0.66</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0.66</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道路绿化区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0.82</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0.82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1.48</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1.48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auto"/>
          <w:spacing w:val="0"/>
          <w:w w:val="100"/>
          <w:kern w:val="2"/>
          <w:sz w:val="30"/>
          <w:szCs w:val="30"/>
          <w:lang w:val="en-US" w:eastAsia="zh-CN" w:bidi="ar-SA"/>
        </w:rPr>
      </w:pPr>
      <w:bookmarkStart w:id="6" w:name="_Toc5960"/>
      <w:bookmarkStart w:id="7" w:name="_Toc23448"/>
      <w:r>
        <w:rPr>
          <w:rFonts w:hint="default" w:ascii="Times New Roman" w:hAnsi="Times New Roman" w:eastAsia="仿宋" w:cs="Times New Roman"/>
          <w:b/>
          <w:bCs/>
          <w:color w:val="auto"/>
          <w:spacing w:val="0"/>
          <w:w w:val="100"/>
          <w:kern w:val="2"/>
          <w:sz w:val="30"/>
          <w:szCs w:val="30"/>
          <w:lang w:val="en-US" w:eastAsia="zh-CN" w:bidi="ar-SA"/>
        </w:rPr>
        <w:t>1.2</w:t>
      </w:r>
      <w:r>
        <w:rPr>
          <w:rFonts w:hint="eastAsia" w:ascii="Times New Roman" w:hAnsi="Times New Roman" w:eastAsia="仿宋" w:cs="Times New Roman"/>
          <w:b/>
          <w:bCs/>
          <w:color w:val="auto"/>
          <w:spacing w:val="0"/>
          <w:w w:val="100"/>
          <w:kern w:val="2"/>
          <w:sz w:val="30"/>
          <w:szCs w:val="30"/>
          <w:lang w:val="en-US" w:eastAsia="zh-CN" w:bidi="ar-SA"/>
        </w:rPr>
        <w:t xml:space="preserve">  </w:t>
      </w:r>
      <w:r>
        <w:rPr>
          <w:rFonts w:hint="default" w:ascii="Times New Roman" w:hAnsi="Times New Roman" w:eastAsia="仿宋" w:cs="Times New Roman"/>
          <w:b/>
          <w:bCs/>
          <w:color w:val="auto"/>
          <w:spacing w:val="0"/>
          <w:w w:val="100"/>
          <w:kern w:val="2"/>
          <w:sz w:val="30"/>
          <w:szCs w:val="30"/>
          <w:lang w:val="en-US" w:eastAsia="zh-CN" w:bidi="ar-SA"/>
        </w:rPr>
        <w:t>项目区概况</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auto"/>
          <w:spacing w:val="0"/>
          <w:w w:val="100"/>
          <w:kern w:val="2"/>
          <w:sz w:val="24"/>
          <w:szCs w:val="24"/>
          <w:lang w:val="en-US" w:eastAsia="zh-CN" w:bidi="ar-SA"/>
        </w:rPr>
      </w:pPr>
      <w:r>
        <w:rPr>
          <w:rFonts w:hint="default" w:ascii="Times New Roman" w:hAnsi="Times New Roman" w:eastAsia="仿宋" w:cs="Times New Roman"/>
          <w:b/>
          <w:bCs/>
          <w:color w:val="auto"/>
          <w:spacing w:val="0"/>
          <w:w w:val="100"/>
          <w:kern w:val="2"/>
          <w:sz w:val="24"/>
          <w:szCs w:val="24"/>
          <w:lang w:val="en-US" w:eastAsia="zh-CN" w:bidi="ar-SA"/>
        </w:rPr>
        <w:t>1.2.1 自然条件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a</w:t>
      </w:r>
      <w:r>
        <w:rPr>
          <w:rFonts w:hint="default" w:ascii="Times New Roman" w:hAnsi="Times New Roman" w:eastAsia="仿宋" w:cs="Times New Roman"/>
          <w:color w:val="auto"/>
          <w:spacing w:val="0"/>
          <w:kern w:val="0"/>
          <w:sz w:val="24"/>
          <w:szCs w:val="24"/>
          <w:lang w:val="en-US" w:eastAsia="zh-CN" w:bidi="ar-SA"/>
        </w:rPr>
        <w:t>）</w:t>
      </w:r>
      <w:r>
        <w:rPr>
          <w:rFonts w:hint="eastAsia" w:ascii="Times New Roman" w:hAnsi="Times New Roman" w:eastAsia="仿宋" w:cs="Times New Roman"/>
          <w:color w:val="auto"/>
          <w:spacing w:val="0"/>
          <w:kern w:val="0"/>
          <w:sz w:val="24"/>
          <w:szCs w:val="24"/>
          <w:lang w:val="en-US" w:eastAsia="zh-CN" w:bidi="ar-SA"/>
        </w:rPr>
        <w:t>地形</w:t>
      </w:r>
      <w:r>
        <w:rPr>
          <w:rFonts w:hint="default" w:ascii="Times New Roman" w:hAnsi="Times New Roman" w:eastAsia="仿宋" w:cs="Times New Roman"/>
          <w:color w:val="auto"/>
          <w:spacing w:val="0"/>
          <w:kern w:val="0"/>
          <w:sz w:val="24"/>
          <w:szCs w:val="24"/>
          <w:lang w:val="en-US" w:eastAsia="zh-CN" w:bidi="ar-SA"/>
        </w:rPr>
        <w:t>地貌</w:t>
      </w:r>
    </w:p>
    <w:p>
      <w:pPr>
        <w:keepNext w:val="0"/>
        <w:keepLines w:val="0"/>
        <w:pageBreakBefore w:val="0"/>
        <w:widowControl/>
        <w:kinsoku/>
        <w:wordWrap/>
        <w:overflowPunct/>
        <w:topLinePunct w:val="0"/>
        <w:bidi w:val="0"/>
        <w:adjustRightInd/>
        <w:snapToGrid w:val="0"/>
        <w:spacing w:after="0"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lang w:eastAsia="zh-CN"/>
        </w:rPr>
        <w:t>三江侗族自治县位于广西壮族自治区北部丘陵山区，属云贵高原的雪峰山、越城岭和苗岭山脉的延伸地带，地势由北向南倾斜，境内山岭叠翠，蜿蜒起伏，山脉走向为北北东～南南西。项目位于三江侗族自治县古宜镇。项目所在区域大部分属构造剥蚀低山缓坡地形，这类地貌主要分布于融江及其各大</w:t>
      </w:r>
      <w:r>
        <w:rPr>
          <w:rFonts w:hint="default" w:ascii="Times New Roman" w:hAnsi="Times New Roman" w:eastAsia="仿宋_GB2312" w:cs="Times New Roman"/>
          <w:color w:val="auto"/>
          <w:sz w:val="24"/>
          <w:highlight w:val="none"/>
          <w:lang w:eastAsia="zh-CN"/>
        </w:rPr>
        <w:t>支流沿岸。区内山岭连绵，丘坡起伏，地形切割浅，山坡平缓，山脊宽平圆滑，水系发育，河道弯曲。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eastAsia="zh-CN"/>
        </w:rPr>
        <w:t>已建</w:t>
      </w:r>
      <w:r>
        <w:rPr>
          <w:rFonts w:hint="default" w:ascii="Times New Roman" w:hAnsi="Times New Roman" w:eastAsia="仿宋_GB2312" w:cs="Times New Roman"/>
          <w:color w:val="auto"/>
          <w:sz w:val="24"/>
          <w:highlight w:val="none"/>
        </w:rPr>
        <w:t>项目区</w:t>
      </w:r>
      <w:r>
        <w:rPr>
          <w:rFonts w:hint="default" w:ascii="Times New Roman" w:hAnsi="Times New Roman" w:eastAsia="仿宋_GB2312" w:cs="Times New Roman"/>
          <w:bCs/>
          <w:color w:val="auto"/>
          <w:kern w:val="44"/>
          <w:sz w:val="24"/>
          <w:highlight w:val="none"/>
          <w:lang w:val="en-US" w:eastAsia="zh-CN"/>
        </w:rPr>
        <w:t>原始地面高程为</w:t>
      </w:r>
      <w:r>
        <w:rPr>
          <w:rFonts w:hint="eastAsia" w:ascii="Times New Roman" w:hAnsi="Times New Roman" w:eastAsia="仿宋_GB2312" w:cs="Times New Roman"/>
          <w:bCs/>
          <w:color w:val="auto"/>
          <w:kern w:val="44"/>
          <w:sz w:val="24"/>
          <w:highlight w:val="none"/>
          <w:lang w:val="en-US" w:eastAsia="zh-CN"/>
        </w:rPr>
        <w:t>163.87</w:t>
      </w:r>
      <w:r>
        <w:rPr>
          <w:rFonts w:hint="default" w:ascii="Times New Roman" w:hAnsi="Times New Roman" w:eastAsia="仿宋_GB2312" w:cs="Times New Roman"/>
          <w:bCs/>
          <w:color w:val="auto"/>
          <w:kern w:val="44"/>
          <w:sz w:val="24"/>
          <w:highlight w:val="none"/>
          <w:lang w:val="en-US" w:eastAsia="zh-CN"/>
        </w:rPr>
        <w:t>~</w:t>
      </w:r>
      <w:r>
        <w:rPr>
          <w:rFonts w:hint="eastAsia" w:ascii="Times New Roman" w:hAnsi="Times New Roman" w:eastAsia="仿宋_GB2312" w:cs="Times New Roman"/>
          <w:bCs/>
          <w:color w:val="auto"/>
          <w:kern w:val="44"/>
          <w:sz w:val="24"/>
          <w:highlight w:val="none"/>
          <w:lang w:val="en-US" w:eastAsia="zh-CN"/>
        </w:rPr>
        <w:t>187.48</w:t>
      </w:r>
      <w:r>
        <w:rPr>
          <w:rFonts w:hint="default" w:ascii="Times New Roman" w:hAnsi="Times New Roman" w:eastAsia="仿宋_GB2312" w:cs="Times New Roman"/>
          <w:bCs/>
          <w:color w:val="auto"/>
          <w:kern w:val="44"/>
          <w:sz w:val="24"/>
          <w:highlight w:val="none"/>
          <w:lang w:val="en-US" w:eastAsia="zh-CN"/>
        </w:rPr>
        <w:t>m</w:t>
      </w:r>
      <w:r>
        <w:rPr>
          <w:rFonts w:hint="default" w:ascii="Times New Roman" w:hAnsi="Times New Roman" w:eastAsia="仿宋_GB2312" w:cs="Times New Roman"/>
          <w:color w:val="auto"/>
          <w:sz w:val="24"/>
          <w:highlight w:val="none"/>
          <w:lang w:val="en-US" w:eastAsia="zh-CN"/>
        </w:rPr>
        <w:t>，项目</w:t>
      </w:r>
      <w:r>
        <w:rPr>
          <w:rFonts w:hint="default" w:ascii="Times New Roman" w:hAnsi="Times New Roman" w:eastAsia="仿宋_GB2312" w:cs="Times New Roman"/>
          <w:bCs/>
          <w:color w:val="auto"/>
          <w:kern w:val="44"/>
          <w:sz w:val="24"/>
          <w:highlight w:val="none"/>
          <w:lang w:val="en-US" w:eastAsia="zh-CN"/>
        </w:rPr>
        <w:t>设计高程为</w:t>
      </w:r>
      <w:r>
        <w:rPr>
          <w:rFonts w:hint="eastAsia" w:ascii="Times New Roman" w:hAnsi="Times New Roman" w:eastAsia="仿宋_GB2312" w:cs="Times New Roman"/>
          <w:bCs/>
          <w:color w:val="auto"/>
          <w:kern w:val="44"/>
          <w:sz w:val="24"/>
          <w:highlight w:val="none"/>
          <w:lang w:val="en-US" w:eastAsia="zh-CN"/>
        </w:rPr>
        <w:t>163.50</w:t>
      </w:r>
      <w:r>
        <w:rPr>
          <w:rFonts w:hint="default" w:ascii="Times New Roman" w:hAnsi="Times New Roman" w:eastAsia="仿宋_GB2312" w:cs="Times New Roman"/>
          <w:color w:val="auto"/>
          <w:sz w:val="24"/>
          <w:highlight w:val="none"/>
          <w:lang w:eastAsia="zh-CN"/>
        </w:rPr>
        <w:t>m~</w:t>
      </w:r>
      <w:r>
        <w:rPr>
          <w:rFonts w:hint="eastAsia" w:ascii="Times New Roman" w:hAnsi="Times New Roman" w:eastAsia="仿宋_GB2312" w:cs="Times New Roman"/>
          <w:color w:val="auto"/>
          <w:sz w:val="24"/>
          <w:highlight w:val="none"/>
          <w:lang w:val="en-US" w:eastAsia="zh-CN"/>
        </w:rPr>
        <w:t>187.43</w:t>
      </w:r>
      <w:r>
        <w:rPr>
          <w:rFonts w:hint="default" w:ascii="Times New Roman" w:hAnsi="Times New Roman" w:eastAsia="仿宋_GB2312" w:cs="Times New Roman"/>
          <w:color w:val="auto"/>
          <w:sz w:val="24"/>
          <w:highlight w:val="none"/>
          <w:lang w:eastAsia="zh-CN"/>
        </w:rPr>
        <w:t>m</w:t>
      </w:r>
      <w:r>
        <w:rPr>
          <w:rFonts w:hint="default" w:ascii="Times New Roman" w:hAnsi="Times New Roman" w:eastAsia="仿宋_GB2312"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b）地质构造</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地质构造及地层岩性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三江侗族自治县境内沉积岩分布极广，丹洲群、震旦系分布区占全县面积的95%以上，中生界白垩系在北部程阳呈点状分布，东部与龙胜交界处有少量雪峰期火山喷发岩，河口附近个别超基性岩体，中部及南部露出少量基性岩、闪长岩及煌斑岩；三江侗族自治县地处江南古陆南缘，属九万大山穹褶带和龙脉褶断带之间，曾经过多次地壳运动，褶皱断裂非常发育，总体以北北东向构造为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仿宋_GB2312" w:cs="Times New Roman"/>
          <w:snapToGrid w:val="0"/>
          <w:color w:val="auto"/>
          <w:kern w:val="0"/>
          <w:sz w:val="24"/>
          <w:szCs w:val="24"/>
        </w:rPr>
      </w:pPr>
      <w:r>
        <w:rPr>
          <w:rFonts w:hint="default" w:ascii="Times New Roman" w:hAnsi="Times New Roman" w:eastAsia="仿宋_GB2312" w:cs="Times New Roman"/>
          <w:color w:val="auto"/>
          <w:sz w:val="24"/>
        </w:rPr>
        <w:t>通过现场踏勘，项目区内未发现地质灾害，雨季时也未见有大面积水土流失情况。</w:t>
      </w:r>
    </w:p>
    <w:p>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地震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根据《中国地震动参数区划图》（GB18306-20</w:t>
      </w:r>
      <w:r>
        <w:rPr>
          <w:rFonts w:hint="default" w:ascii="Times New Roman" w:hAnsi="Times New Roman" w:eastAsia="仿宋_GB2312" w:cs="Times New Roman"/>
          <w:color w:val="auto"/>
          <w:sz w:val="24"/>
          <w:lang w:val="en-US" w:eastAsia="zh-CN"/>
        </w:rPr>
        <w:t>15</w:t>
      </w:r>
      <w:r>
        <w:rPr>
          <w:rFonts w:hint="default" w:ascii="Times New Roman" w:hAnsi="Times New Roman" w:eastAsia="仿宋_GB2312" w:cs="Times New Roman"/>
          <w:color w:val="auto"/>
          <w:sz w:val="24"/>
        </w:rPr>
        <w:t>），项目所在区地震基本烈度为</w:t>
      </w:r>
      <w:r>
        <w:rPr>
          <w:rFonts w:hint="default" w:ascii="Times New Roman" w:hAnsi="Times New Roman" w:eastAsia="仿宋_GB2312" w:cs="Times New Roman"/>
          <w:color w:val="auto"/>
          <w:sz w:val="24"/>
          <w:lang w:val="en-US" w:eastAsia="zh-CN"/>
        </w:rPr>
        <w:t>VII</w:t>
      </w:r>
      <w:r>
        <w:rPr>
          <w:rFonts w:hint="default" w:ascii="Times New Roman" w:hAnsi="Times New Roman" w:eastAsia="仿宋_GB2312" w:cs="Times New Roman"/>
          <w:color w:val="auto"/>
          <w:sz w:val="24"/>
        </w:rPr>
        <w:t>度，地震动峰值加速度为0.15g，反应谱特征周期为0.35s。据国家地震台网资料</w:t>
      </w:r>
      <w:r>
        <w:rPr>
          <w:rFonts w:hint="default" w:ascii="Times New Roman" w:hAnsi="Times New Roman" w:eastAsia="仿宋_GB2312" w:cs="Times New Roman"/>
          <w:color w:val="auto"/>
          <w:sz w:val="24"/>
          <w:lang w:eastAsia="zh-CN"/>
        </w:rPr>
        <w:t>良庆</w:t>
      </w:r>
      <w:r>
        <w:rPr>
          <w:rFonts w:hint="default" w:ascii="Times New Roman" w:hAnsi="Times New Roman" w:eastAsia="仿宋_GB2312" w:cs="Times New Roman"/>
          <w:color w:val="auto"/>
          <w:sz w:val="24"/>
        </w:rPr>
        <w:t>区及周边断层活动强度较低，对本建设项目稳定性影响较小，项目区设施等构造物采取简易设防。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）不良工程地质情况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rPr>
        <w:t>根据区域地质图上表示，该工程附近没有断裂经过，据调查未发现有地面塌陷、崩塌、滑坡危险区和泥石流易发区等影响工程安全不良地质作用，属区域相对稳定区。</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eastAsia" w:ascii="Times New Roman" w:hAnsi="Times New Roman" w:eastAsia="仿宋" w:cs="Times New Roman"/>
          <w:color w:val="auto"/>
          <w:spacing w:val="0"/>
          <w:w w:val="100"/>
          <w:kern w:val="2"/>
          <w:sz w:val="24"/>
          <w:szCs w:val="24"/>
          <w:lang w:val="en-US" w:eastAsia="zh-CN" w:bidi="ar-SA"/>
        </w:rPr>
        <w:t>c</w:t>
      </w:r>
      <w:r>
        <w:rPr>
          <w:rFonts w:hint="default" w:ascii="Times New Roman" w:hAnsi="Times New Roman" w:eastAsia="仿宋" w:cs="Times New Roman"/>
          <w:color w:val="auto"/>
          <w:spacing w:val="0"/>
          <w:w w:val="100"/>
          <w:kern w:val="2"/>
          <w:sz w:val="24"/>
          <w:szCs w:val="24"/>
          <w:lang w:val="en-US" w:eastAsia="zh-CN" w:bidi="ar-SA"/>
        </w:rPr>
        <w:t xml:space="preserve">）气象  </w:t>
      </w:r>
    </w:p>
    <w:p>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color w:val="auto"/>
          <w:sz w:val="24"/>
          <w:szCs w:val="24"/>
        </w:rPr>
        <w:t>项目区属中亚热带季风气候区，气候温暖湿润，四季分明，夏长春短，阳光充足。区域内年降水的分配具有明显的季候性特征，降雨多集中在4～9月，占全年降雨量的60~85%以上，期间常有大雨或暴雨；枯水季节为10月至次年3月，降水量少，较干燥，是施工的好季节。</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color w:val="auto"/>
          <w:sz w:val="24"/>
          <w:szCs w:val="24"/>
        </w:rPr>
        <w:t>项目所在地主</w:t>
      </w:r>
      <w:r>
        <w:rPr>
          <w:rFonts w:hint="default" w:ascii="Times New Roman" w:hAnsi="Times New Roman" w:eastAsia="仿宋_GB2312" w:cs="Times New Roman"/>
          <w:bCs/>
          <w:color w:val="auto"/>
          <w:sz w:val="24"/>
          <w:szCs w:val="24"/>
        </w:rPr>
        <w:t>要气象特征如下表。</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0" w:firstLineChars="0"/>
        <w:jc w:val="both"/>
        <w:textAlignment w:val="auto"/>
        <w:outlineLvl w:val="9"/>
        <w:rPr>
          <w:rFonts w:hint="default" w:ascii="Times New Roman" w:hAnsi="Times New Roman" w:eastAsia="仿宋_GB2312" w:cs="Times New Roman"/>
          <w:b/>
          <w:bCs/>
          <w:color w:val="auto"/>
          <w:sz w:val="24"/>
          <w:lang w:eastAsia="zh-CN"/>
        </w:rPr>
      </w:pPr>
      <w:r>
        <w:rPr>
          <w:rFonts w:hint="default" w:ascii="Times New Roman" w:hAnsi="Times New Roman" w:eastAsia="仿宋_GB2312" w:cs="Times New Roman"/>
          <w:b/>
          <w:bCs/>
          <w:color w:val="auto"/>
          <w:sz w:val="24"/>
          <w:lang w:eastAsia="zh-CN"/>
        </w:rPr>
        <w:t>表</w:t>
      </w:r>
      <w:r>
        <w:rPr>
          <w:rFonts w:hint="eastAsia" w:ascii="Times New Roman" w:hAnsi="Times New Roman" w:eastAsia="仿宋_GB2312" w:cs="Times New Roman"/>
          <w:b/>
          <w:bCs/>
          <w:color w:val="auto"/>
          <w:sz w:val="24"/>
          <w:lang w:val="en-US" w:eastAsia="zh-CN"/>
        </w:rPr>
        <w:t>2.7-1</w:t>
      </w:r>
      <w:r>
        <w:rPr>
          <w:rFonts w:hint="default" w:ascii="Times New Roman" w:hAnsi="Times New Roman" w:eastAsia="仿宋_GB2312" w:cs="Times New Roman"/>
          <w:b/>
          <w:bCs/>
          <w:color w:val="auto"/>
          <w:sz w:val="24"/>
          <w:lang w:eastAsia="zh-CN"/>
        </w:rPr>
        <w:t xml:space="preserve">   </w:t>
      </w:r>
      <w:r>
        <w:rPr>
          <w:rFonts w:hint="eastAsia" w:ascii="Times New Roman" w:hAnsi="Times New Roman" w:eastAsia="仿宋_GB2312" w:cs="Times New Roman"/>
          <w:b/>
          <w:bCs/>
          <w:color w:val="auto"/>
          <w:sz w:val="24"/>
          <w:lang w:val="en-US" w:eastAsia="zh-CN"/>
        </w:rPr>
        <w:t xml:space="preserve">                 </w:t>
      </w:r>
      <w:r>
        <w:rPr>
          <w:rFonts w:hint="default" w:ascii="Times New Roman" w:hAnsi="Times New Roman" w:eastAsia="仿宋_GB2312" w:cs="Times New Roman"/>
          <w:b/>
          <w:bCs/>
          <w:color w:val="auto"/>
          <w:sz w:val="24"/>
          <w:lang w:eastAsia="zh-CN"/>
        </w:rPr>
        <w:t xml:space="preserve"> 项目区主要气象特征值表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983"/>
        <w:gridCol w:w="3960"/>
        <w:gridCol w:w="1589"/>
        <w:gridCol w:w="2049"/>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594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气象特征指标</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单位</w:t>
            </w:r>
          </w:p>
        </w:tc>
        <w:tc>
          <w:tcPr>
            <w:tcW w:w="20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三江县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98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气温</w:t>
            </w:r>
          </w:p>
        </w:tc>
        <w:tc>
          <w:tcPr>
            <w:tcW w:w="39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多年平均气温</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w:t>
            </w:r>
          </w:p>
        </w:tc>
        <w:tc>
          <w:tcPr>
            <w:tcW w:w="20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9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p>
        </w:tc>
        <w:tc>
          <w:tcPr>
            <w:tcW w:w="39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多年极端最高气温</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w:t>
            </w:r>
          </w:p>
        </w:tc>
        <w:tc>
          <w:tcPr>
            <w:tcW w:w="20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9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p>
        </w:tc>
        <w:tc>
          <w:tcPr>
            <w:tcW w:w="39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多年极端最低气温</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w:t>
            </w:r>
          </w:p>
        </w:tc>
        <w:tc>
          <w:tcPr>
            <w:tcW w:w="20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98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降雨量</w:t>
            </w:r>
          </w:p>
        </w:tc>
        <w:tc>
          <w:tcPr>
            <w:tcW w:w="39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多年平均降雨量</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mm</w:t>
            </w:r>
          </w:p>
        </w:tc>
        <w:tc>
          <w:tcPr>
            <w:tcW w:w="20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1578.5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9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p>
        </w:tc>
        <w:tc>
          <w:tcPr>
            <w:tcW w:w="39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24小时最大降雨量</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mm</w:t>
            </w:r>
          </w:p>
        </w:tc>
        <w:tc>
          <w:tcPr>
            <w:tcW w:w="20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98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降雨强度</w:t>
            </w:r>
          </w:p>
        </w:tc>
        <w:tc>
          <w:tcPr>
            <w:tcW w:w="39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lang w:eastAsia="zh-CN"/>
              </w:rPr>
            </w:pPr>
            <w:r>
              <w:rPr>
                <w:rFonts w:hint="default" w:ascii="Times New Roman" w:hAnsi="Times New Roman" w:eastAsia="仿宋_GB2312" w:cs="Times New Roman"/>
                <w:bCs/>
                <w:color w:val="auto"/>
                <w:sz w:val="21"/>
                <w:szCs w:val="21"/>
                <w:lang w:eastAsia="zh-CN"/>
              </w:rPr>
              <w:t>10年一遇1h最大降雨强度</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mm</w:t>
            </w:r>
          </w:p>
        </w:tc>
        <w:tc>
          <w:tcPr>
            <w:tcW w:w="20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9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p>
        </w:tc>
        <w:tc>
          <w:tcPr>
            <w:tcW w:w="39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lang w:eastAsia="zh-CN"/>
              </w:rPr>
            </w:pPr>
            <w:r>
              <w:rPr>
                <w:rFonts w:hint="default" w:ascii="Times New Roman" w:hAnsi="Times New Roman" w:eastAsia="仿宋_GB2312" w:cs="Times New Roman"/>
                <w:bCs/>
                <w:color w:val="auto"/>
                <w:sz w:val="21"/>
                <w:szCs w:val="21"/>
                <w:lang w:eastAsia="zh-CN"/>
              </w:rPr>
              <w:t>20年一遇1h最大降雨强度</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mm</w:t>
            </w:r>
          </w:p>
        </w:tc>
        <w:tc>
          <w:tcPr>
            <w:tcW w:w="20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983"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风</w:t>
            </w:r>
          </w:p>
        </w:tc>
        <w:tc>
          <w:tcPr>
            <w:tcW w:w="39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主导</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方位</w:t>
            </w:r>
          </w:p>
        </w:tc>
        <w:tc>
          <w:tcPr>
            <w:tcW w:w="20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983"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p>
        </w:tc>
        <w:tc>
          <w:tcPr>
            <w:tcW w:w="39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多年平均风速</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m/s</w:t>
            </w:r>
          </w:p>
        </w:tc>
        <w:tc>
          <w:tcPr>
            <w:tcW w:w="20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9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蒸发量</w:t>
            </w:r>
          </w:p>
        </w:tc>
        <w:tc>
          <w:tcPr>
            <w:tcW w:w="39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多年平均蒸发量</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mm</w:t>
            </w:r>
          </w:p>
        </w:tc>
        <w:tc>
          <w:tcPr>
            <w:tcW w:w="20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9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积温</w:t>
            </w:r>
          </w:p>
        </w:tc>
        <w:tc>
          <w:tcPr>
            <w:tcW w:w="39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≥10</w:t>
            </w:r>
            <w:r>
              <w:rPr>
                <w:rFonts w:hint="default" w:ascii="Times New Roman" w:hAnsi="Times New Roman" w:eastAsia="仿宋_GB2312" w:cs="Times New Roman"/>
                <w:color w:val="auto"/>
                <w:sz w:val="21"/>
                <w:szCs w:val="21"/>
              </w:rPr>
              <w:t>℃</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color w:val="auto"/>
                <w:sz w:val="21"/>
                <w:szCs w:val="21"/>
              </w:rPr>
              <w:t>℃</w:t>
            </w:r>
          </w:p>
        </w:tc>
        <w:tc>
          <w:tcPr>
            <w:tcW w:w="20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5691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4" w:hRule="atLeast"/>
          <w:jc w:val="center"/>
        </w:trPr>
        <w:tc>
          <w:tcPr>
            <w:tcW w:w="19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无霜期</w:t>
            </w:r>
          </w:p>
        </w:tc>
        <w:tc>
          <w:tcPr>
            <w:tcW w:w="39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多年平均无霜期</w:t>
            </w:r>
          </w:p>
        </w:tc>
        <w:tc>
          <w:tcPr>
            <w:tcW w:w="158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d</w:t>
            </w:r>
          </w:p>
        </w:tc>
        <w:tc>
          <w:tcPr>
            <w:tcW w:w="20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bCs/>
                <w:color w:val="auto"/>
                <w:sz w:val="21"/>
                <w:szCs w:val="21"/>
              </w:rPr>
            </w:pPr>
            <w:r>
              <w:rPr>
                <w:rFonts w:hint="default" w:ascii="Times New Roman" w:hAnsi="Times New Roman" w:eastAsia="仿宋_GB2312" w:cs="Times New Roman"/>
                <w:bCs/>
                <w:color w:val="auto"/>
                <w:sz w:val="21"/>
                <w:szCs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gridAfter w:val="1"/>
          <w:wAfter w:w="0" w:type="dxa"/>
          <w:trHeight w:val="34" w:hRule="atLeast"/>
          <w:jc w:val="center"/>
        </w:trPr>
        <w:tc>
          <w:tcPr>
            <w:tcW w:w="9581"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b/>
                <w:color w:val="auto"/>
                <w:sz w:val="21"/>
                <w:szCs w:val="21"/>
                <w:lang w:eastAsia="zh-CN"/>
              </w:rPr>
              <w:t>表中主要气象数据三江侗族自治县气象局提供，统计资料系列长度19</w:t>
            </w:r>
            <w:r>
              <w:rPr>
                <w:rFonts w:hint="default" w:ascii="Times New Roman" w:hAnsi="Times New Roman" w:eastAsia="仿宋_GB2312" w:cs="Times New Roman"/>
                <w:b/>
                <w:color w:val="auto"/>
                <w:sz w:val="21"/>
                <w:szCs w:val="21"/>
                <w:lang w:val="en-US" w:eastAsia="zh-CN"/>
              </w:rPr>
              <w:t>6</w:t>
            </w:r>
            <w:r>
              <w:rPr>
                <w:rFonts w:hint="default" w:ascii="Times New Roman" w:hAnsi="Times New Roman" w:eastAsia="仿宋_GB2312" w:cs="Times New Roman"/>
                <w:b/>
                <w:color w:val="auto"/>
                <w:sz w:val="21"/>
                <w:szCs w:val="21"/>
                <w:lang w:eastAsia="zh-CN"/>
              </w:rPr>
              <w:t>7～201</w:t>
            </w:r>
            <w:r>
              <w:rPr>
                <w:rFonts w:hint="default" w:ascii="Times New Roman" w:hAnsi="Times New Roman" w:eastAsia="仿宋_GB2312" w:cs="Times New Roman"/>
                <w:b/>
                <w:color w:val="auto"/>
                <w:sz w:val="21"/>
                <w:szCs w:val="21"/>
                <w:lang w:val="en-US" w:eastAsia="zh-CN"/>
              </w:rPr>
              <w:t>7</w:t>
            </w:r>
            <w:r>
              <w:rPr>
                <w:rFonts w:hint="default" w:ascii="Times New Roman" w:hAnsi="Times New Roman" w:eastAsia="仿宋_GB2312" w:cs="Times New Roman"/>
                <w:b/>
                <w:color w:val="auto"/>
                <w:sz w:val="21"/>
                <w:szCs w:val="21"/>
                <w:lang w:eastAsia="zh-CN"/>
              </w:rPr>
              <w:t>。</w:t>
            </w:r>
          </w:p>
        </w:tc>
      </w:tr>
    </w:tbl>
    <w:p>
      <w:pPr>
        <w:pStyle w:val="2"/>
        <w:rPr>
          <w:rFonts w:hint="default"/>
          <w:color w:val="auto"/>
        </w:rPr>
      </w:pPr>
    </w:p>
    <w:p>
      <w:pPr>
        <w:ind w:firstLine="476" w:firstLineChars="200"/>
        <w:jc w:val="left"/>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Times New Roman" w:cs="Times New Roman"/>
          <w:color w:val="auto"/>
          <w:spacing w:val="-1"/>
          <w:w w:val="100"/>
          <w:position w:val="0"/>
          <w:sz w:val="24"/>
          <w:szCs w:val="24"/>
        </w:rPr>
        <w:t>c</w:t>
      </w:r>
      <w:r>
        <w:rPr>
          <w:rFonts w:hint="default" w:ascii="Times New Roman" w:hAnsi="Times New Roman" w:eastAsia="仿宋" w:cs="Times New Roman"/>
          <w:color w:val="auto"/>
          <w:spacing w:val="0"/>
          <w:w w:val="100"/>
          <w:position w:val="0"/>
          <w:sz w:val="24"/>
          <w:szCs w:val="24"/>
        </w:rPr>
        <w:t>）水文</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0"/>
          <w:highlight w:val="none"/>
          <w:lang w:eastAsia="zh-CN"/>
        </w:rPr>
      </w:pPr>
      <w:r>
        <w:rPr>
          <w:rFonts w:hint="default" w:ascii="Times New Roman" w:hAnsi="Times New Roman" w:eastAsia="仿宋_GB2312" w:cs="Times New Roman"/>
          <w:color w:val="auto"/>
          <w:sz w:val="24"/>
          <w:szCs w:val="20"/>
          <w:highlight w:val="none"/>
          <w:lang w:eastAsia="zh-CN"/>
        </w:rPr>
        <w:t>项目区附近主要水系为</w:t>
      </w:r>
      <w:r>
        <w:rPr>
          <w:rFonts w:hint="eastAsia" w:ascii="Times New Roman" w:hAnsi="Times New Roman" w:eastAsia="仿宋_GB2312" w:cs="Times New Roman"/>
          <w:color w:val="auto"/>
          <w:sz w:val="24"/>
          <w:szCs w:val="20"/>
          <w:highlight w:val="none"/>
          <w:lang w:eastAsia="zh-CN"/>
        </w:rPr>
        <w:t>寻江</w:t>
      </w:r>
      <w:r>
        <w:rPr>
          <w:rFonts w:hint="default" w:ascii="Times New Roman" w:hAnsi="Times New Roman" w:eastAsia="仿宋_GB2312" w:cs="Times New Roman"/>
          <w:color w:val="auto"/>
          <w:sz w:val="24"/>
          <w:szCs w:val="20"/>
          <w:highlight w:val="none"/>
          <w:lang w:eastAsia="zh-CN"/>
        </w:rPr>
        <w:t>。</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0"/>
          <w:highlight w:val="none"/>
          <w:lang w:eastAsia="zh-CN"/>
        </w:rPr>
      </w:pPr>
      <w:r>
        <w:rPr>
          <w:rFonts w:hint="default" w:ascii="Times New Roman" w:hAnsi="Times New Roman" w:eastAsia="仿宋_GB2312" w:cs="Times New Roman"/>
          <w:color w:val="auto"/>
          <w:sz w:val="24"/>
          <w:szCs w:val="20"/>
          <w:highlight w:val="none"/>
          <w:lang w:eastAsia="zh-CN"/>
        </w:rPr>
        <w:fldChar w:fldCharType="begin"/>
      </w:r>
      <w:r>
        <w:rPr>
          <w:rFonts w:hint="default" w:ascii="Times New Roman" w:hAnsi="Times New Roman" w:eastAsia="仿宋_GB2312" w:cs="Times New Roman"/>
          <w:color w:val="auto"/>
          <w:sz w:val="24"/>
          <w:szCs w:val="20"/>
          <w:highlight w:val="none"/>
          <w:lang w:eastAsia="zh-CN"/>
        </w:rPr>
        <w:instrText xml:space="preserve"> HYPERLINK "https://baike.so.com/doc/8791543-9115894.html" \t "https://baike.so.com/doc/_blank" </w:instrText>
      </w:r>
      <w:r>
        <w:rPr>
          <w:rFonts w:hint="default" w:ascii="Times New Roman" w:hAnsi="Times New Roman" w:eastAsia="仿宋_GB2312" w:cs="Times New Roman"/>
          <w:color w:val="auto"/>
          <w:sz w:val="24"/>
          <w:szCs w:val="20"/>
          <w:highlight w:val="none"/>
          <w:lang w:eastAsia="zh-CN"/>
        </w:rPr>
        <w:fldChar w:fldCharType="separate"/>
      </w:r>
      <w:r>
        <w:rPr>
          <w:rFonts w:hint="default" w:ascii="Times New Roman" w:hAnsi="Times New Roman" w:eastAsia="仿宋_GB2312" w:cs="Times New Roman"/>
          <w:color w:val="auto"/>
          <w:sz w:val="24"/>
          <w:szCs w:val="20"/>
          <w:highlight w:val="none"/>
          <w:lang w:eastAsia="zh-CN"/>
        </w:rPr>
        <w:t>寻江</w:t>
      </w:r>
      <w:r>
        <w:rPr>
          <w:rFonts w:hint="default" w:ascii="Times New Roman" w:hAnsi="Times New Roman" w:eastAsia="仿宋_GB2312" w:cs="Times New Roman"/>
          <w:color w:val="auto"/>
          <w:sz w:val="24"/>
          <w:szCs w:val="20"/>
          <w:highlight w:val="none"/>
          <w:lang w:eastAsia="zh-CN"/>
        </w:rPr>
        <w:fldChar w:fldCharType="end"/>
      </w:r>
      <w:r>
        <w:rPr>
          <w:rFonts w:hint="default" w:ascii="Times New Roman" w:hAnsi="Times New Roman" w:eastAsia="仿宋_GB2312" w:cs="Times New Roman"/>
          <w:color w:val="auto"/>
          <w:sz w:val="24"/>
          <w:szCs w:val="20"/>
          <w:highlight w:val="none"/>
          <w:lang w:eastAsia="zh-CN"/>
        </w:rPr>
        <w:t>、浔江，</w:t>
      </w:r>
      <w:r>
        <w:rPr>
          <w:rFonts w:hint="eastAsia" w:ascii="Times New Roman" w:hAnsi="Times New Roman" w:eastAsia="仿宋_GB2312" w:cs="Times New Roman"/>
          <w:color w:val="auto"/>
          <w:sz w:val="24"/>
          <w:szCs w:val="20"/>
          <w:highlight w:val="none"/>
          <w:lang w:eastAsia="zh-CN"/>
        </w:rPr>
        <w:t>又</w:t>
      </w:r>
      <w:r>
        <w:rPr>
          <w:rFonts w:hint="default" w:ascii="Times New Roman" w:hAnsi="Times New Roman" w:eastAsia="仿宋_GB2312" w:cs="Times New Roman"/>
          <w:color w:val="auto"/>
          <w:sz w:val="24"/>
          <w:szCs w:val="20"/>
          <w:highlight w:val="none"/>
          <w:lang w:eastAsia="zh-CN"/>
        </w:rPr>
        <w:t>称古宜河，珠江水系西江支流</w:t>
      </w:r>
      <w:r>
        <w:rPr>
          <w:rFonts w:hint="default" w:ascii="Times New Roman" w:hAnsi="Times New Roman" w:eastAsia="仿宋_GB2312" w:cs="Times New Roman"/>
          <w:color w:val="auto"/>
          <w:sz w:val="24"/>
          <w:szCs w:val="20"/>
          <w:highlight w:val="none"/>
          <w:lang w:eastAsia="zh-CN"/>
        </w:rPr>
        <w:fldChar w:fldCharType="begin"/>
      </w:r>
      <w:r>
        <w:rPr>
          <w:rFonts w:hint="default" w:ascii="Times New Roman" w:hAnsi="Times New Roman" w:eastAsia="仿宋_GB2312" w:cs="Times New Roman"/>
          <w:color w:val="auto"/>
          <w:sz w:val="24"/>
          <w:szCs w:val="20"/>
          <w:highlight w:val="none"/>
          <w:lang w:eastAsia="zh-CN"/>
        </w:rPr>
        <w:instrText xml:space="preserve"> HYPERLINK "https://baike.so.com/doc/5970190-6183147.html" \t "https://baike.so.com/doc/_blank" </w:instrText>
      </w:r>
      <w:r>
        <w:rPr>
          <w:rFonts w:hint="default" w:ascii="Times New Roman" w:hAnsi="Times New Roman" w:eastAsia="仿宋_GB2312" w:cs="Times New Roman"/>
          <w:color w:val="auto"/>
          <w:sz w:val="24"/>
          <w:szCs w:val="20"/>
          <w:highlight w:val="none"/>
          <w:lang w:eastAsia="zh-CN"/>
        </w:rPr>
        <w:fldChar w:fldCharType="separate"/>
      </w:r>
      <w:r>
        <w:rPr>
          <w:rFonts w:hint="default" w:ascii="Times New Roman" w:hAnsi="Times New Roman" w:eastAsia="仿宋_GB2312" w:cs="Times New Roman"/>
          <w:color w:val="auto"/>
          <w:sz w:val="24"/>
          <w:szCs w:val="20"/>
          <w:highlight w:val="none"/>
          <w:lang w:eastAsia="zh-CN"/>
        </w:rPr>
        <w:t>柳江</w:t>
      </w:r>
      <w:r>
        <w:rPr>
          <w:rFonts w:hint="default" w:ascii="Times New Roman" w:hAnsi="Times New Roman" w:eastAsia="仿宋_GB2312" w:cs="Times New Roman"/>
          <w:color w:val="auto"/>
          <w:sz w:val="24"/>
          <w:szCs w:val="20"/>
          <w:highlight w:val="none"/>
          <w:lang w:eastAsia="zh-CN"/>
        </w:rPr>
        <w:fldChar w:fldCharType="end"/>
      </w:r>
      <w:r>
        <w:rPr>
          <w:rFonts w:hint="default" w:ascii="Times New Roman" w:hAnsi="Times New Roman" w:eastAsia="仿宋_GB2312" w:cs="Times New Roman"/>
          <w:color w:val="auto"/>
          <w:sz w:val="24"/>
          <w:szCs w:val="20"/>
          <w:highlight w:val="none"/>
          <w:lang w:eastAsia="zh-CN"/>
        </w:rPr>
        <w:t>干流</w:t>
      </w:r>
      <w:r>
        <w:rPr>
          <w:rFonts w:hint="default" w:ascii="Times New Roman" w:hAnsi="Times New Roman" w:eastAsia="仿宋_GB2312" w:cs="Times New Roman"/>
          <w:color w:val="auto"/>
          <w:sz w:val="24"/>
          <w:szCs w:val="20"/>
          <w:highlight w:val="none"/>
          <w:lang w:eastAsia="zh-CN"/>
        </w:rPr>
        <w:fldChar w:fldCharType="begin"/>
      </w:r>
      <w:r>
        <w:rPr>
          <w:rFonts w:hint="default" w:ascii="Times New Roman" w:hAnsi="Times New Roman" w:eastAsia="仿宋_GB2312" w:cs="Times New Roman"/>
          <w:color w:val="auto"/>
          <w:sz w:val="24"/>
          <w:szCs w:val="20"/>
          <w:highlight w:val="none"/>
          <w:lang w:eastAsia="zh-CN"/>
        </w:rPr>
        <w:instrText xml:space="preserve"> HYPERLINK "https://baike.so.com/doc/5732499-5945242.html" \t "https://baike.so.com/doc/_blank" </w:instrText>
      </w:r>
      <w:r>
        <w:rPr>
          <w:rFonts w:hint="default" w:ascii="Times New Roman" w:hAnsi="Times New Roman" w:eastAsia="仿宋_GB2312" w:cs="Times New Roman"/>
          <w:color w:val="auto"/>
          <w:sz w:val="24"/>
          <w:szCs w:val="20"/>
          <w:highlight w:val="none"/>
          <w:lang w:eastAsia="zh-CN"/>
        </w:rPr>
        <w:fldChar w:fldCharType="separate"/>
      </w:r>
      <w:r>
        <w:rPr>
          <w:rFonts w:hint="default" w:ascii="Times New Roman" w:hAnsi="Times New Roman" w:eastAsia="仿宋_GB2312" w:cs="Times New Roman"/>
          <w:color w:val="auto"/>
          <w:sz w:val="24"/>
          <w:szCs w:val="20"/>
          <w:highlight w:val="none"/>
          <w:lang w:eastAsia="zh-CN"/>
        </w:rPr>
        <w:t>融江</w:t>
      </w:r>
      <w:r>
        <w:rPr>
          <w:rFonts w:hint="default" w:ascii="Times New Roman" w:hAnsi="Times New Roman" w:eastAsia="仿宋_GB2312" w:cs="Times New Roman"/>
          <w:color w:val="auto"/>
          <w:sz w:val="24"/>
          <w:szCs w:val="20"/>
          <w:highlight w:val="none"/>
          <w:lang w:eastAsia="zh-CN"/>
        </w:rPr>
        <w:fldChar w:fldCharType="end"/>
      </w:r>
      <w:r>
        <w:rPr>
          <w:rFonts w:hint="default" w:ascii="Times New Roman" w:hAnsi="Times New Roman" w:eastAsia="仿宋_GB2312" w:cs="Times New Roman"/>
          <w:color w:val="auto"/>
          <w:sz w:val="24"/>
          <w:szCs w:val="20"/>
          <w:highlight w:val="none"/>
          <w:lang w:eastAsia="zh-CN"/>
        </w:rPr>
        <w:t>段左岸支流。发源于湘、桂交界的金紫山南麓--广西</w:t>
      </w:r>
      <w:r>
        <w:rPr>
          <w:rFonts w:hint="default" w:ascii="Times New Roman" w:hAnsi="Times New Roman" w:eastAsia="仿宋_GB2312" w:cs="Times New Roman"/>
          <w:color w:val="auto"/>
          <w:sz w:val="24"/>
          <w:szCs w:val="20"/>
          <w:highlight w:val="none"/>
          <w:lang w:eastAsia="zh-CN"/>
        </w:rPr>
        <w:fldChar w:fldCharType="begin"/>
      </w:r>
      <w:r>
        <w:rPr>
          <w:rFonts w:hint="default" w:ascii="Times New Roman" w:hAnsi="Times New Roman" w:eastAsia="仿宋_GB2312" w:cs="Times New Roman"/>
          <w:color w:val="auto"/>
          <w:sz w:val="24"/>
          <w:szCs w:val="20"/>
          <w:highlight w:val="none"/>
          <w:lang w:eastAsia="zh-CN"/>
        </w:rPr>
        <w:instrText xml:space="preserve"> HYPERLINK "https://baike.so.com/doc/4280416-4483633.html" \t "https://baike.so.com/doc/_blank" </w:instrText>
      </w:r>
      <w:r>
        <w:rPr>
          <w:rFonts w:hint="default" w:ascii="Times New Roman" w:hAnsi="Times New Roman" w:eastAsia="仿宋_GB2312" w:cs="Times New Roman"/>
          <w:color w:val="auto"/>
          <w:sz w:val="24"/>
          <w:szCs w:val="20"/>
          <w:highlight w:val="none"/>
          <w:lang w:eastAsia="zh-CN"/>
        </w:rPr>
        <w:fldChar w:fldCharType="separate"/>
      </w:r>
      <w:r>
        <w:rPr>
          <w:rFonts w:hint="default" w:ascii="Times New Roman" w:hAnsi="Times New Roman" w:eastAsia="仿宋_GB2312" w:cs="Times New Roman"/>
          <w:color w:val="auto"/>
          <w:sz w:val="24"/>
          <w:szCs w:val="20"/>
          <w:highlight w:val="none"/>
          <w:lang w:eastAsia="zh-CN"/>
        </w:rPr>
        <w:t>资源县</w:t>
      </w:r>
      <w:r>
        <w:rPr>
          <w:rFonts w:hint="default" w:ascii="Times New Roman" w:hAnsi="Times New Roman" w:eastAsia="仿宋_GB2312" w:cs="Times New Roman"/>
          <w:color w:val="auto"/>
          <w:sz w:val="24"/>
          <w:szCs w:val="20"/>
          <w:highlight w:val="none"/>
          <w:lang w:eastAsia="zh-CN"/>
        </w:rPr>
        <w:fldChar w:fldCharType="end"/>
      </w:r>
      <w:r>
        <w:rPr>
          <w:rFonts w:hint="default" w:ascii="Times New Roman" w:hAnsi="Times New Roman" w:eastAsia="仿宋_GB2312" w:cs="Times New Roman"/>
          <w:color w:val="auto"/>
          <w:sz w:val="24"/>
          <w:szCs w:val="20"/>
          <w:highlight w:val="none"/>
          <w:lang w:eastAsia="zh-CN"/>
        </w:rPr>
        <w:fldChar w:fldCharType="begin"/>
      </w:r>
      <w:r>
        <w:rPr>
          <w:rFonts w:hint="default" w:ascii="Times New Roman" w:hAnsi="Times New Roman" w:eastAsia="仿宋_GB2312" w:cs="Times New Roman"/>
          <w:color w:val="auto"/>
          <w:sz w:val="24"/>
          <w:szCs w:val="20"/>
          <w:highlight w:val="none"/>
          <w:lang w:eastAsia="zh-CN"/>
        </w:rPr>
        <w:instrText xml:space="preserve"> HYPERLINK "https://baike.so.com/doc/7657113-7931208.html" \t "https://baike.so.com/doc/_blank" </w:instrText>
      </w:r>
      <w:r>
        <w:rPr>
          <w:rFonts w:hint="default" w:ascii="Times New Roman" w:hAnsi="Times New Roman" w:eastAsia="仿宋_GB2312" w:cs="Times New Roman"/>
          <w:color w:val="auto"/>
          <w:sz w:val="24"/>
          <w:szCs w:val="20"/>
          <w:highlight w:val="none"/>
          <w:lang w:eastAsia="zh-CN"/>
        </w:rPr>
        <w:fldChar w:fldCharType="separate"/>
      </w:r>
      <w:r>
        <w:rPr>
          <w:rFonts w:hint="default" w:ascii="Times New Roman" w:hAnsi="Times New Roman" w:eastAsia="仿宋_GB2312" w:cs="Times New Roman"/>
          <w:color w:val="auto"/>
          <w:sz w:val="24"/>
          <w:szCs w:val="20"/>
          <w:highlight w:val="none"/>
          <w:lang w:eastAsia="zh-CN"/>
        </w:rPr>
        <w:t>车田苗族乡</w:t>
      </w:r>
      <w:r>
        <w:rPr>
          <w:rFonts w:hint="default" w:ascii="Times New Roman" w:hAnsi="Times New Roman" w:eastAsia="仿宋_GB2312" w:cs="Times New Roman"/>
          <w:color w:val="auto"/>
          <w:sz w:val="24"/>
          <w:szCs w:val="20"/>
          <w:highlight w:val="none"/>
          <w:lang w:eastAsia="zh-CN"/>
        </w:rPr>
        <w:fldChar w:fldCharType="end"/>
      </w:r>
      <w:r>
        <w:rPr>
          <w:rFonts w:hint="default" w:ascii="Times New Roman" w:hAnsi="Times New Roman" w:eastAsia="仿宋_GB2312" w:cs="Times New Roman"/>
          <w:color w:val="auto"/>
          <w:sz w:val="24"/>
          <w:szCs w:val="20"/>
          <w:highlight w:val="none"/>
          <w:lang w:eastAsia="zh-CN"/>
        </w:rPr>
        <w:t>脚古冲村政冲山顶东1.5千米处，经龙胜县和三江县，于三江县老堡口汇入</w:t>
      </w:r>
      <w:r>
        <w:rPr>
          <w:rFonts w:hint="default" w:ascii="Times New Roman" w:hAnsi="Times New Roman" w:eastAsia="仿宋_GB2312" w:cs="Times New Roman"/>
          <w:color w:val="auto"/>
          <w:sz w:val="24"/>
          <w:szCs w:val="20"/>
          <w:highlight w:val="none"/>
          <w:lang w:eastAsia="zh-CN"/>
        </w:rPr>
        <w:fldChar w:fldCharType="begin"/>
      </w:r>
      <w:r>
        <w:rPr>
          <w:rFonts w:hint="default" w:ascii="Times New Roman" w:hAnsi="Times New Roman" w:eastAsia="仿宋_GB2312" w:cs="Times New Roman"/>
          <w:color w:val="auto"/>
          <w:sz w:val="24"/>
          <w:szCs w:val="20"/>
          <w:highlight w:val="none"/>
          <w:lang w:eastAsia="zh-CN"/>
        </w:rPr>
        <w:instrText xml:space="preserve"> HYPERLINK "https://baike.so.com/doc/5732499-5945242.html" \t "https://baike.so.com/doc/_blank" </w:instrText>
      </w:r>
      <w:r>
        <w:rPr>
          <w:rFonts w:hint="default" w:ascii="Times New Roman" w:hAnsi="Times New Roman" w:eastAsia="仿宋_GB2312" w:cs="Times New Roman"/>
          <w:color w:val="auto"/>
          <w:sz w:val="24"/>
          <w:szCs w:val="20"/>
          <w:highlight w:val="none"/>
          <w:lang w:eastAsia="zh-CN"/>
        </w:rPr>
        <w:fldChar w:fldCharType="separate"/>
      </w:r>
      <w:r>
        <w:rPr>
          <w:rFonts w:hint="default" w:ascii="Times New Roman" w:hAnsi="Times New Roman" w:eastAsia="仿宋_GB2312" w:cs="Times New Roman"/>
          <w:color w:val="auto"/>
          <w:sz w:val="24"/>
          <w:szCs w:val="20"/>
          <w:highlight w:val="none"/>
          <w:lang w:eastAsia="zh-CN"/>
        </w:rPr>
        <w:t>融江</w:t>
      </w:r>
      <w:r>
        <w:rPr>
          <w:rFonts w:hint="default" w:ascii="Times New Roman" w:hAnsi="Times New Roman" w:eastAsia="仿宋_GB2312" w:cs="Times New Roman"/>
          <w:color w:val="auto"/>
          <w:sz w:val="24"/>
          <w:szCs w:val="20"/>
          <w:highlight w:val="none"/>
          <w:lang w:eastAsia="zh-CN"/>
        </w:rPr>
        <w:fldChar w:fldCharType="end"/>
      </w:r>
      <w:r>
        <w:rPr>
          <w:rFonts w:hint="default" w:ascii="Times New Roman" w:hAnsi="Times New Roman" w:eastAsia="仿宋_GB2312" w:cs="Times New Roman"/>
          <w:color w:val="auto"/>
          <w:sz w:val="24"/>
          <w:szCs w:val="20"/>
          <w:highlight w:val="none"/>
          <w:lang w:eastAsia="zh-CN"/>
        </w:rPr>
        <w:t>(柳江上游别称)，河道全程215.4千米，平均坡降6.79‰，河道弯曲系数 1.83。主要支流为</w:t>
      </w:r>
      <w:r>
        <w:rPr>
          <w:rFonts w:hint="default" w:ascii="Times New Roman" w:hAnsi="Times New Roman" w:eastAsia="仿宋_GB2312" w:cs="Times New Roman"/>
          <w:color w:val="auto"/>
          <w:sz w:val="24"/>
          <w:szCs w:val="20"/>
          <w:highlight w:val="none"/>
          <w:lang w:eastAsia="zh-CN"/>
        </w:rPr>
        <w:fldChar w:fldCharType="begin"/>
      </w:r>
      <w:r>
        <w:rPr>
          <w:rFonts w:hint="default" w:ascii="Times New Roman" w:hAnsi="Times New Roman" w:eastAsia="仿宋_GB2312" w:cs="Times New Roman"/>
          <w:color w:val="auto"/>
          <w:sz w:val="24"/>
          <w:szCs w:val="20"/>
          <w:highlight w:val="none"/>
          <w:lang w:eastAsia="zh-CN"/>
        </w:rPr>
        <w:instrText xml:space="preserve"> HYPERLINK "https://baike.so.com/doc/9048037-9378550.html" \t "https://baike.so.com/doc/_blank" </w:instrText>
      </w:r>
      <w:r>
        <w:rPr>
          <w:rFonts w:hint="default" w:ascii="Times New Roman" w:hAnsi="Times New Roman" w:eastAsia="仿宋_GB2312" w:cs="Times New Roman"/>
          <w:color w:val="auto"/>
          <w:sz w:val="24"/>
          <w:szCs w:val="20"/>
          <w:highlight w:val="none"/>
          <w:lang w:eastAsia="zh-CN"/>
        </w:rPr>
        <w:fldChar w:fldCharType="separate"/>
      </w:r>
      <w:r>
        <w:rPr>
          <w:rFonts w:hint="default" w:ascii="Times New Roman" w:hAnsi="Times New Roman" w:eastAsia="仿宋_GB2312" w:cs="Times New Roman"/>
          <w:color w:val="auto"/>
          <w:sz w:val="24"/>
          <w:szCs w:val="20"/>
          <w:highlight w:val="none"/>
          <w:lang w:eastAsia="zh-CN"/>
        </w:rPr>
        <w:t>平等河</w:t>
      </w:r>
      <w:r>
        <w:rPr>
          <w:rFonts w:hint="default" w:ascii="Times New Roman" w:hAnsi="Times New Roman" w:eastAsia="仿宋_GB2312" w:cs="Times New Roman"/>
          <w:color w:val="auto"/>
          <w:sz w:val="24"/>
          <w:szCs w:val="20"/>
          <w:highlight w:val="none"/>
          <w:lang w:eastAsia="zh-CN"/>
        </w:rPr>
        <w:fldChar w:fldCharType="end"/>
      </w:r>
      <w:r>
        <w:rPr>
          <w:rFonts w:hint="default" w:ascii="Times New Roman" w:hAnsi="Times New Roman" w:eastAsia="仿宋_GB2312" w:cs="Times New Roman"/>
          <w:color w:val="auto"/>
          <w:sz w:val="24"/>
          <w:szCs w:val="20"/>
          <w:highlight w:val="none"/>
          <w:lang w:eastAsia="zh-CN"/>
        </w:rPr>
        <w:t>。流域地处</w:t>
      </w:r>
      <w:r>
        <w:rPr>
          <w:rFonts w:hint="default" w:ascii="Times New Roman" w:hAnsi="Times New Roman" w:eastAsia="仿宋_GB2312" w:cs="Times New Roman"/>
          <w:color w:val="auto"/>
          <w:sz w:val="24"/>
          <w:szCs w:val="20"/>
          <w:highlight w:val="none"/>
          <w:lang w:eastAsia="zh-CN"/>
        </w:rPr>
        <w:fldChar w:fldCharType="begin"/>
      </w:r>
      <w:r>
        <w:rPr>
          <w:rFonts w:hint="default" w:ascii="Times New Roman" w:hAnsi="Times New Roman" w:eastAsia="仿宋_GB2312" w:cs="Times New Roman"/>
          <w:color w:val="auto"/>
          <w:sz w:val="24"/>
          <w:szCs w:val="20"/>
          <w:highlight w:val="none"/>
          <w:lang w:eastAsia="zh-CN"/>
        </w:rPr>
        <w:instrText xml:space="preserve"> HYPERLINK "https://baike.so.com/doc/5970190-6183147.html" \t "https://baike.so.com/doc/_blank" </w:instrText>
      </w:r>
      <w:r>
        <w:rPr>
          <w:rFonts w:hint="default" w:ascii="Times New Roman" w:hAnsi="Times New Roman" w:eastAsia="仿宋_GB2312" w:cs="Times New Roman"/>
          <w:color w:val="auto"/>
          <w:sz w:val="24"/>
          <w:szCs w:val="20"/>
          <w:highlight w:val="none"/>
          <w:lang w:eastAsia="zh-CN"/>
        </w:rPr>
        <w:fldChar w:fldCharType="separate"/>
      </w:r>
      <w:r>
        <w:rPr>
          <w:rFonts w:hint="default" w:ascii="Times New Roman" w:hAnsi="Times New Roman" w:eastAsia="仿宋_GB2312" w:cs="Times New Roman"/>
          <w:color w:val="auto"/>
          <w:sz w:val="24"/>
          <w:szCs w:val="20"/>
          <w:highlight w:val="none"/>
          <w:lang w:eastAsia="zh-CN"/>
        </w:rPr>
        <w:t>柳江</w:t>
      </w:r>
      <w:r>
        <w:rPr>
          <w:rFonts w:hint="default" w:ascii="Times New Roman" w:hAnsi="Times New Roman" w:eastAsia="仿宋_GB2312" w:cs="Times New Roman"/>
          <w:color w:val="auto"/>
          <w:sz w:val="24"/>
          <w:szCs w:val="20"/>
          <w:highlight w:val="none"/>
          <w:lang w:eastAsia="zh-CN"/>
        </w:rPr>
        <w:fldChar w:fldCharType="end"/>
      </w:r>
      <w:r>
        <w:rPr>
          <w:rFonts w:hint="default" w:ascii="Times New Roman" w:hAnsi="Times New Roman" w:eastAsia="仿宋_GB2312" w:cs="Times New Roman"/>
          <w:color w:val="auto"/>
          <w:sz w:val="24"/>
          <w:szCs w:val="20"/>
          <w:highlight w:val="none"/>
          <w:lang w:eastAsia="zh-CN"/>
        </w:rPr>
        <w:t>中游，范围涉及湖南省境内656平方千米，广西境内4427平方千米。水质状况良好，旅游、水力资源丰富，沿河建有多处水库、电站及旅游景点。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lang w:eastAsia="zh-CN"/>
        </w:rPr>
        <w:t>寻江</w:t>
      </w:r>
      <w:r>
        <w:rPr>
          <w:rFonts w:hint="default" w:ascii="Times New Roman" w:hAnsi="Times New Roman" w:eastAsia="仿宋_GB2312" w:cs="Times New Roman"/>
          <w:color w:val="auto"/>
          <w:sz w:val="24"/>
          <w:highlight w:val="none"/>
        </w:rPr>
        <w:t>位于该项目</w:t>
      </w:r>
      <w:r>
        <w:rPr>
          <w:rFonts w:hint="default" w:ascii="Times New Roman" w:hAnsi="Times New Roman" w:eastAsia="仿宋_GB2312" w:cs="Times New Roman"/>
          <w:color w:val="auto"/>
          <w:sz w:val="24"/>
          <w:highlight w:val="none"/>
          <w:lang w:eastAsia="zh-CN"/>
        </w:rPr>
        <w:t>西</w:t>
      </w:r>
      <w:r>
        <w:rPr>
          <w:rFonts w:hint="default" w:ascii="Times New Roman" w:hAnsi="Times New Roman" w:eastAsia="仿宋_GB2312" w:cs="Times New Roman"/>
          <w:color w:val="auto"/>
          <w:sz w:val="24"/>
          <w:highlight w:val="none"/>
        </w:rPr>
        <w:t>侧约</w:t>
      </w:r>
      <w:r>
        <w:rPr>
          <w:rFonts w:hint="eastAsia" w:ascii="Times New Roman" w:hAnsi="Times New Roman" w:eastAsia="仿宋_GB2312" w:cs="Times New Roman"/>
          <w:color w:val="auto"/>
          <w:sz w:val="24"/>
          <w:highlight w:val="none"/>
          <w:lang w:val="en-US" w:eastAsia="zh-CN"/>
        </w:rPr>
        <w:t>500</w:t>
      </w:r>
      <w:r>
        <w:rPr>
          <w:rFonts w:hint="default" w:ascii="Times New Roman" w:hAnsi="Times New Roman" w:eastAsia="仿宋_GB2312" w:cs="Times New Roman"/>
          <w:color w:val="auto"/>
          <w:sz w:val="24"/>
          <w:highlight w:val="none"/>
        </w:rPr>
        <w:t>m处，</w:t>
      </w:r>
      <w:r>
        <w:rPr>
          <w:rFonts w:hint="eastAsia" w:ascii="Times New Roman" w:hAnsi="Times New Roman" w:eastAsia="仿宋_GB2312" w:cs="Times New Roman"/>
          <w:color w:val="auto"/>
          <w:sz w:val="24"/>
          <w:highlight w:val="none"/>
          <w:lang w:eastAsia="zh-CN"/>
        </w:rPr>
        <w:t>两者之间有建筑物相隔，</w:t>
      </w:r>
      <w:r>
        <w:rPr>
          <w:rFonts w:hint="default" w:ascii="Times New Roman" w:hAnsi="Times New Roman" w:eastAsia="仿宋_GB2312" w:cs="Times New Roman"/>
          <w:color w:val="auto"/>
          <w:sz w:val="24"/>
          <w:highlight w:val="none"/>
        </w:rPr>
        <w:t>该河段对本项目防洪无影响。</w:t>
      </w:r>
    </w:p>
    <w:p>
      <w:pPr>
        <w:pStyle w:val="9"/>
        <w:ind w:firstLine="496"/>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Times New Roman" w:cs="Times New Roman"/>
          <w:color w:val="auto"/>
          <w:spacing w:val="0"/>
          <w:w w:val="100"/>
          <w:sz w:val="24"/>
          <w:szCs w:val="24"/>
        </w:rPr>
        <w:t>d</w:t>
      </w:r>
      <w:r>
        <w:rPr>
          <w:rFonts w:hint="default" w:ascii="Times New Roman" w:hAnsi="Times New Roman" w:eastAsia="仿宋" w:cs="Times New Roman"/>
          <w:color w:val="auto"/>
          <w:spacing w:val="0"/>
          <w:w w:val="100"/>
          <w:sz w:val="24"/>
          <w:szCs w:val="24"/>
        </w:rPr>
        <w:t>）土壤</w:t>
      </w:r>
      <w:r>
        <w:rPr>
          <w:rFonts w:hint="default" w:ascii="Times New Roman" w:hAnsi="Times New Roman" w:eastAsia="仿宋" w:cs="Times New Roman"/>
          <w:color w:val="auto"/>
          <w:spacing w:val="0"/>
          <w:w w:val="100"/>
          <w:sz w:val="24"/>
          <w:szCs w:val="24"/>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区内土壤以红壤为主。红壤又分为第四纪红土红壤和砂页岩红壤等。主要分布于500m以下的丘陵、缓丘、峰林洼地、河槽谷地的中部和较高的河流阶地等，各乡镇均有分布。成土母质为砂页岩、片岩，土体呈红色或黄棕色，土体深厚、质粘，通透性和适耕性差，高温多湿，土壤有机质分解快，土壤呈酸性，土壤质地以粘土为主，土壤可蚀性较差。</w:t>
      </w:r>
    </w:p>
    <w:p>
      <w:pPr>
        <w:spacing w:before="120" w:beforeLines="50" w:after="120" w:afterLines="50"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已建</w:t>
      </w:r>
      <w:r>
        <w:rPr>
          <w:rFonts w:hint="default" w:ascii="Times New Roman" w:hAnsi="Times New Roman" w:eastAsia="仿宋_GB2312" w:cs="Times New Roman"/>
          <w:color w:val="auto"/>
          <w:sz w:val="24"/>
          <w:highlight w:val="none"/>
        </w:rPr>
        <w:t>项目区内土壤类型主要为红壤等。项目区土壤质地为中壤土，可蚀性微度。根据调查，本项目已开工，无表土可剥。</w:t>
      </w:r>
    </w:p>
    <w:p>
      <w:pPr>
        <w:pStyle w:val="9"/>
        <w:ind w:firstLine="496"/>
        <w:rPr>
          <w:rFonts w:hint="default" w:ascii="Times New Roman" w:hAnsi="Times New Roman" w:eastAsia="仿宋" w:cs="Times New Roman"/>
          <w:color w:val="auto"/>
          <w:spacing w:val="0"/>
          <w:w w:val="100"/>
          <w:sz w:val="24"/>
          <w:szCs w:val="24"/>
        </w:rPr>
      </w:pPr>
      <w:r>
        <w:rPr>
          <w:rFonts w:hint="default" w:ascii="Times New Roman" w:hAnsi="Times New Roman" w:eastAsia="Times New Roman" w:cs="Times New Roman"/>
          <w:color w:val="auto"/>
          <w:spacing w:val="-1"/>
          <w:w w:val="100"/>
          <w:sz w:val="24"/>
          <w:szCs w:val="24"/>
        </w:rPr>
        <w:t>e</w:t>
      </w:r>
      <w:r>
        <w:rPr>
          <w:rFonts w:hint="default" w:ascii="Times New Roman" w:hAnsi="Times New Roman" w:eastAsia="仿宋" w:cs="Times New Roman"/>
          <w:color w:val="auto"/>
          <w:spacing w:val="0"/>
          <w:w w:val="100"/>
          <w:sz w:val="24"/>
          <w:szCs w:val="24"/>
        </w:rPr>
        <w:t>）植被</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0"/>
          <w:lang w:eastAsia="zh-CN"/>
        </w:rPr>
        <w:t>项目区植被类型多属于中亚热带落叶常绿阔叶林。由于人为活动频繁，原生植被多已被破坏，现多由天然次生植被和人工</w:t>
      </w:r>
      <w:r>
        <w:rPr>
          <w:rFonts w:hint="eastAsia" w:ascii="Times New Roman" w:hAnsi="Times New Roman" w:eastAsia="仿宋_GB2312" w:cs="Times New Roman"/>
          <w:color w:val="auto"/>
          <w:sz w:val="24"/>
          <w:szCs w:val="20"/>
          <w:lang w:val="en-US" w:eastAsia="zh-CN"/>
        </w:rPr>
        <w:t>X</w:t>
      </w:r>
      <w:r>
        <w:rPr>
          <w:rFonts w:hint="default" w:ascii="Times New Roman" w:hAnsi="Times New Roman" w:eastAsia="仿宋_GB2312" w:cs="Times New Roman"/>
          <w:color w:val="auto"/>
          <w:sz w:val="24"/>
          <w:szCs w:val="20"/>
          <w:lang w:eastAsia="zh-CN"/>
        </w:rPr>
        <w:t>植被所替代。天然次生阔叶林多分布在河谷两旁，中、低山地貌中地形陡峭、土层薄、岩石裸露、沟谷深切的地段，主要树种有荷木、檫木、楠木、木兰、红椎、白椎、黄杞等；人工植被主要种类有：杉木、马尾松、毛竹、油茶、油桐等树种；天然灌木种类主要有胡枝子、盐肤木、野漆、杨梅、杜鹃、木姜子等；林地草地植物多由五节芒、铁芒箕、纤毛鸭嘴草、金茅、东方毛蕨、狗脊等种类构成。</w:t>
      </w:r>
    </w:p>
    <w:p>
      <w:pPr>
        <w:pStyle w:val="9"/>
        <w:ind w:left="0" w:leftChars="0" w:firstLine="0" w:firstLineChars="0"/>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水</w:t>
      </w:r>
      <w:r>
        <w:rPr>
          <w:rFonts w:hint="default" w:ascii="Times New Roman" w:hAnsi="Times New Roman" w:eastAsia="仿宋" w:cs="Times New Roman"/>
          <w:b/>
          <w:bCs/>
          <w:color w:val="auto"/>
          <w:spacing w:val="0"/>
          <w:w w:val="100"/>
          <w:position w:val="-1"/>
          <w:sz w:val="24"/>
          <w:szCs w:val="24"/>
        </w:rPr>
        <w:t>土流</w:t>
      </w:r>
      <w:r>
        <w:rPr>
          <w:rFonts w:hint="default" w:ascii="Times New Roman" w:hAnsi="Times New Roman" w:eastAsia="仿宋" w:cs="Times New Roman"/>
          <w:b/>
          <w:bCs/>
          <w:color w:val="auto"/>
          <w:spacing w:val="2"/>
          <w:w w:val="100"/>
          <w:position w:val="-1"/>
          <w:sz w:val="24"/>
          <w:szCs w:val="24"/>
        </w:rPr>
        <w:t>失</w:t>
      </w:r>
      <w:r>
        <w:rPr>
          <w:rFonts w:hint="default" w:ascii="Times New Roman" w:hAnsi="Times New Roman" w:eastAsia="仿宋" w:cs="Times New Roman"/>
          <w:b/>
          <w:bCs/>
          <w:color w:val="auto"/>
          <w:spacing w:val="0"/>
          <w:w w:val="100"/>
          <w:position w:val="-1"/>
          <w:sz w:val="24"/>
          <w:szCs w:val="24"/>
        </w:rPr>
        <w:t>及水土保</w:t>
      </w:r>
      <w:r>
        <w:rPr>
          <w:rFonts w:hint="default" w:ascii="Times New Roman" w:hAnsi="Times New Roman" w:eastAsia="仿宋" w:cs="Times New Roman"/>
          <w:b/>
          <w:bCs/>
          <w:color w:val="auto"/>
          <w:spacing w:val="2"/>
          <w:w w:val="100"/>
          <w:position w:val="-1"/>
          <w:sz w:val="24"/>
          <w:szCs w:val="24"/>
        </w:rPr>
        <w:t>持</w:t>
      </w:r>
      <w:r>
        <w:rPr>
          <w:rFonts w:hint="default" w:ascii="Times New Roman" w:hAnsi="Times New Roman" w:eastAsia="仿宋" w:cs="Times New Roman"/>
          <w:b/>
          <w:bCs/>
          <w:color w:val="auto"/>
          <w:spacing w:val="0"/>
          <w:w w:val="100"/>
          <w:position w:val="-1"/>
          <w:sz w:val="24"/>
          <w:szCs w:val="24"/>
        </w:rPr>
        <w:t>情况</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_GB2312" w:cs="Times New Roman"/>
          <w:color w:val="auto"/>
        </w:rPr>
        <w:t>项目所在区域属于全国土壤侵蚀类型Ⅱ级区划的</w:t>
      </w:r>
      <w:r>
        <w:rPr>
          <w:rFonts w:hint="eastAsia" w:ascii="Times New Roman" w:hAnsi="Times New Roman" w:eastAsia="仿宋_GB2312" w:cs="Times New Roman"/>
          <w:color w:val="auto"/>
          <w:lang w:eastAsia="zh-CN"/>
        </w:rPr>
        <w:t>西南岩溶</w:t>
      </w:r>
      <w:r>
        <w:rPr>
          <w:rFonts w:hint="default" w:ascii="Times New Roman" w:hAnsi="Times New Roman" w:eastAsia="仿宋_GB2312" w:cs="Times New Roman"/>
          <w:color w:val="auto"/>
        </w:rPr>
        <w:t>区，容许土壤流失量为500</w:t>
      </w:r>
      <w:r>
        <w:rPr>
          <w:rFonts w:hint="default" w:ascii="Times New Roman" w:hAnsi="Times New Roman" w:eastAsia="仿宋_GB2312" w:cs="Times New Roman"/>
          <w:color w:val="auto"/>
          <w:szCs w:val="28"/>
        </w:rPr>
        <w:t>t/(km</w:t>
      </w:r>
      <w:r>
        <w:rPr>
          <w:rFonts w:hint="default" w:ascii="Times New Roman" w:hAnsi="Times New Roman" w:eastAsia="仿宋_GB2312" w:cs="Times New Roman"/>
          <w:color w:val="auto"/>
          <w:szCs w:val="28"/>
          <w:vertAlign w:val="superscript"/>
        </w:rPr>
        <w:t>2</w:t>
      </w:r>
      <w:r>
        <w:rPr>
          <w:rFonts w:hint="default" w:ascii="Times New Roman" w:hAnsi="Times New Roman" w:eastAsia="仿宋_GB2312" w:cs="Times New Roman"/>
          <w:color w:val="auto"/>
          <w:szCs w:val="28"/>
        </w:rPr>
        <w:t>·a)。</w:t>
      </w:r>
      <w:r>
        <w:rPr>
          <w:rFonts w:hint="default" w:ascii="Times New Roman" w:hAnsi="Times New Roman" w:eastAsia="仿宋_GB2312" w:cs="Times New Roman"/>
          <w:color w:val="auto"/>
        </w:rPr>
        <w:t>根据201</w:t>
      </w:r>
      <w:r>
        <w:rPr>
          <w:rFonts w:hint="eastAsia" w:eastAsia="仿宋_GB2312" w:cs="Times New Roman"/>
          <w:color w:val="auto"/>
          <w:lang w:val="en-US" w:eastAsia="zh-CN"/>
        </w:rPr>
        <w:t>9</w:t>
      </w:r>
      <w:r>
        <w:rPr>
          <w:rFonts w:hint="default" w:ascii="Times New Roman" w:hAnsi="Times New Roman" w:eastAsia="仿宋_GB2312" w:cs="Times New Roman"/>
          <w:color w:val="auto"/>
        </w:rPr>
        <w:t>年</w:t>
      </w:r>
      <w:r>
        <w:rPr>
          <w:rFonts w:hint="eastAsia" w:ascii="Times New Roman" w:hAnsi="Times New Roman" w:eastAsia="仿宋_GB2312" w:cs="Times New Roman"/>
          <w:color w:val="auto"/>
          <w:lang w:eastAsia="zh-CN"/>
        </w:rPr>
        <w:t>广西水土保持公报</w:t>
      </w:r>
      <w:r>
        <w:rPr>
          <w:rFonts w:hint="default" w:ascii="Times New Roman" w:hAnsi="Times New Roman" w:eastAsia="仿宋_GB2312" w:cs="Times New Roman"/>
          <w:color w:val="auto"/>
        </w:rPr>
        <w:t>，项目所在</w:t>
      </w:r>
      <w:r>
        <w:rPr>
          <w:rFonts w:hint="eastAsia" w:ascii="Times New Roman" w:hAnsi="Times New Roman" w:eastAsia="仿宋_GB2312" w:cs="Times New Roman"/>
          <w:color w:val="auto"/>
          <w:lang w:eastAsia="zh-CN"/>
        </w:rPr>
        <w:t>柳州市三江侗族自治县水土流</w:t>
      </w:r>
      <w:r>
        <w:rPr>
          <w:rFonts w:hint="eastAsia" w:ascii="Times New Roman" w:hAnsi="Times New Roman" w:eastAsia="仿宋_GB2312" w:cs="Times New Roman"/>
          <w:color w:val="auto"/>
          <w:lang w:eastAsia="zh-CN"/>
        </w:rPr>
        <w:t>失</w:t>
      </w:r>
      <w:r>
        <w:rPr>
          <w:rFonts w:hint="default" w:ascii="Times New Roman" w:hAnsi="Times New Roman" w:eastAsia="仿宋_GB2312" w:cs="Times New Roman"/>
          <w:color w:val="auto"/>
        </w:rPr>
        <w:t>面积</w:t>
      </w:r>
      <w:r>
        <w:rPr>
          <w:rFonts w:hint="eastAsia" w:eastAsia="仿宋" w:cs="Times New Roman"/>
          <w:color w:val="auto"/>
          <w:spacing w:val="0"/>
          <w:kern w:val="0"/>
          <w:sz w:val="24"/>
          <w:szCs w:val="24"/>
          <w:lang w:val="en-US" w:eastAsia="zh-CN" w:bidi="ar-SA"/>
        </w:rPr>
        <w:t>1.2-2</w:t>
      </w:r>
      <w:r>
        <w:rPr>
          <w:rFonts w:hint="default" w:ascii="Times New Roman" w:hAnsi="Times New Roman" w:eastAsia="仿宋" w:cs="Times New Roman"/>
          <w:color w:val="auto"/>
          <w:spacing w:val="0"/>
          <w:kern w:val="0"/>
          <w:sz w:val="24"/>
          <w:szCs w:val="24"/>
          <w:lang w:val="en-US" w:eastAsia="zh-CN" w:bidi="ar-SA"/>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360" w:lineRule="auto"/>
        <w:ind w:right="-20"/>
        <w:jc w:val="both"/>
        <w:textAlignment w:val="auto"/>
        <w:outlineLvl w:val="9"/>
        <w:rPr>
          <w:rFonts w:hint="default" w:ascii="Times New Roman" w:hAnsi="Times New Roman" w:eastAsia="仿宋" w:cs="Times New Roman"/>
          <w:color w:val="auto"/>
          <w:spacing w:val="0"/>
          <w:kern w:val="0"/>
          <w:sz w:val="24"/>
          <w:szCs w:val="24"/>
          <w:vertAlign w:val="superscript"/>
          <w:lang w:val="en-US" w:eastAsia="zh-CN" w:bidi="ar-SA"/>
        </w:rPr>
      </w:pPr>
      <w:r>
        <w:rPr>
          <w:rFonts w:hint="default" w:ascii="Times New Roman" w:hAnsi="Times New Roman" w:eastAsia="仿宋" w:cs="Times New Roman"/>
          <w:color w:val="auto"/>
          <w:spacing w:val="0"/>
          <w:kern w:val="0"/>
          <w:sz w:val="24"/>
          <w:szCs w:val="24"/>
          <w:lang w:val="en-US" w:eastAsia="zh-CN" w:bidi="ar-SA"/>
        </w:rPr>
        <w:t>表 1.2-2</w:t>
      </w:r>
      <w:r>
        <w:rPr>
          <w:rFonts w:hint="default" w:ascii="Times New Roman" w:hAnsi="Times New Roman" w:eastAsia="仿宋" w:cs="Times New Roman"/>
          <w:color w:val="auto"/>
          <w:spacing w:val="0"/>
          <w:kern w:val="0"/>
          <w:sz w:val="24"/>
          <w:szCs w:val="24"/>
          <w:lang w:val="en-US" w:eastAsia="zh-CN" w:bidi="ar-SA"/>
        </w:rPr>
        <w:tab/>
      </w:r>
      <w:r>
        <w:rPr>
          <w:rFonts w:hint="default" w:ascii="Times New Roman" w:hAnsi="Times New Roman" w:eastAsia="仿宋" w:cs="Times New Roman"/>
          <w:color w:val="auto"/>
          <w:spacing w:val="0"/>
          <w:kern w:val="0"/>
          <w:sz w:val="24"/>
          <w:szCs w:val="24"/>
          <w:lang w:val="en-US" w:eastAsia="zh-CN" w:bidi="ar-SA"/>
        </w:rPr>
        <w:t xml:space="preserve"> 柳州市三江侗族</w:t>
      </w:r>
      <w:r>
        <w:rPr>
          <w:rFonts w:hint="eastAsia" w:ascii="Times New Roman" w:hAnsi="Times New Roman" w:eastAsia="仿宋" w:cs="Times New Roman"/>
          <w:color w:val="auto"/>
          <w:spacing w:val="0"/>
          <w:kern w:val="0"/>
          <w:sz w:val="24"/>
          <w:szCs w:val="24"/>
          <w:lang w:val="en-US" w:eastAsia="zh-CN" w:bidi="ar-SA"/>
        </w:rPr>
        <w:t>自治区</w:t>
      </w:r>
      <w:r>
        <w:rPr>
          <w:rFonts w:hint="default" w:ascii="Times New Roman" w:hAnsi="Times New Roman" w:eastAsia="仿宋" w:cs="Times New Roman"/>
          <w:color w:val="auto"/>
          <w:spacing w:val="0"/>
          <w:kern w:val="0"/>
          <w:sz w:val="24"/>
          <w:szCs w:val="24"/>
          <w:lang w:val="en-US" w:eastAsia="zh-CN" w:bidi="ar-SA"/>
        </w:rPr>
        <w:t>水土流失调查面积统计表</w:t>
      </w:r>
      <w:r>
        <w:rPr>
          <w:rFonts w:hint="default" w:ascii="Times New Roman" w:hAnsi="Times New Roman" w:eastAsia="仿宋" w:cs="Times New Roman"/>
          <w:color w:val="auto"/>
          <w:spacing w:val="0"/>
          <w:kern w:val="0"/>
          <w:sz w:val="24"/>
          <w:szCs w:val="24"/>
          <w:lang w:val="en-US" w:eastAsia="zh-CN" w:bidi="ar-SA"/>
        </w:rPr>
        <w:tab/>
      </w:r>
      <w:r>
        <w:rPr>
          <w:rFonts w:hint="default" w:ascii="Times New Roman" w:hAnsi="Times New Roman" w:eastAsia="仿宋" w:cs="Times New Roman"/>
          <w:color w:val="auto"/>
          <w:spacing w:val="0"/>
          <w:kern w:val="0"/>
          <w:sz w:val="24"/>
          <w:szCs w:val="24"/>
          <w:lang w:val="en-US" w:eastAsia="zh-CN" w:bidi="ar-SA"/>
        </w:rPr>
        <w:t>单位：km</w:t>
      </w:r>
      <w:r>
        <w:rPr>
          <w:rFonts w:hint="default" w:ascii="Times New Roman" w:hAnsi="Times New Roman" w:eastAsia="仿宋" w:cs="Times New Roman"/>
          <w:color w:val="auto"/>
          <w:spacing w:val="0"/>
          <w:kern w:val="0"/>
          <w:sz w:val="24"/>
          <w:szCs w:val="24"/>
          <w:vertAlign w:val="superscript"/>
          <w:lang w:val="en-US" w:eastAsia="zh-CN" w:bidi="ar-SA"/>
        </w:rPr>
        <w:t>2</w:t>
      </w:r>
    </w:p>
    <w:tbl>
      <w:tblPr>
        <w:tblStyle w:val="10"/>
        <w:tblW w:w="95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176"/>
        <w:gridCol w:w="1233"/>
        <w:gridCol w:w="1232"/>
        <w:gridCol w:w="1232"/>
        <w:gridCol w:w="1233"/>
        <w:gridCol w:w="1232"/>
        <w:gridCol w:w="1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2176" w:type="dxa"/>
            <w:vMerge w:val="restart"/>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行政区</w:t>
            </w:r>
          </w:p>
        </w:tc>
        <w:tc>
          <w:tcPr>
            <w:tcW w:w="7407" w:type="dxa"/>
            <w:gridSpan w:val="6"/>
            <w:noWrap/>
            <w:tcMar>
              <w:top w:w="14" w:type="dxa"/>
              <w:left w:w="14" w:type="dxa"/>
              <w:bottom w:w="0" w:type="dxa"/>
              <w:right w:w="14" w:type="dxa"/>
            </w:tcMar>
            <w:vAlign w:val="center"/>
          </w:tcPr>
          <w:p>
            <w:pPr>
              <w:snapToGrid w:val="0"/>
              <w:spacing w:line="22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水力侵蚀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176" w:type="dxa"/>
            <w:vMerge w:val="continue"/>
            <w:noWrap w:val="0"/>
            <w:vAlign w:val="center"/>
          </w:tcPr>
          <w:p>
            <w:pPr>
              <w:widowControl/>
              <w:snapToGrid w:val="0"/>
              <w:spacing w:line="240" w:lineRule="exact"/>
              <w:jc w:val="center"/>
              <w:rPr>
                <w:rFonts w:hint="default" w:ascii="Times New Roman" w:hAnsi="Times New Roman" w:eastAsia="仿宋_GB2312" w:cs="Times New Roman"/>
                <w:color w:val="auto"/>
                <w:szCs w:val="21"/>
              </w:rPr>
            </w:pPr>
          </w:p>
        </w:tc>
        <w:tc>
          <w:tcPr>
            <w:tcW w:w="1233" w:type="dxa"/>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轻度</w:t>
            </w:r>
          </w:p>
        </w:tc>
        <w:tc>
          <w:tcPr>
            <w:tcW w:w="1232" w:type="dxa"/>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中度</w:t>
            </w:r>
          </w:p>
        </w:tc>
        <w:tc>
          <w:tcPr>
            <w:tcW w:w="1232" w:type="dxa"/>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强烈</w:t>
            </w:r>
          </w:p>
        </w:tc>
        <w:tc>
          <w:tcPr>
            <w:tcW w:w="1233" w:type="dxa"/>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极强烈</w:t>
            </w:r>
          </w:p>
        </w:tc>
        <w:tc>
          <w:tcPr>
            <w:tcW w:w="1232" w:type="dxa"/>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剧烈</w:t>
            </w:r>
          </w:p>
        </w:tc>
        <w:tc>
          <w:tcPr>
            <w:tcW w:w="1245" w:type="dxa"/>
            <w:noWrap w:val="0"/>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176" w:type="dxa"/>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三江侗族自治县</w:t>
            </w:r>
          </w:p>
        </w:tc>
        <w:tc>
          <w:tcPr>
            <w:tcW w:w="1233" w:type="dxa"/>
            <w:noWrap/>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spacing w:after="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269.31</w:t>
            </w:r>
          </w:p>
        </w:tc>
        <w:tc>
          <w:tcPr>
            <w:tcW w:w="1232" w:type="dxa"/>
            <w:noWrap/>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spacing w:after="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124.59</w:t>
            </w:r>
          </w:p>
        </w:tc>
        <w:tc>
          <w:tcPr>
            <w:tcW w:w="1232" w:type="dxa"/>
            <w:noWrap/>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spacing w:after="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45.74</w:t>
            </w:r>
          </w:p>
        </w:tc>
        <w:tc>
          <w:tcPr>
            <w:tcW w:w="1233" w:type="dxa"/>
            <w:noWrap/>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spacing w:after="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26.87</w:t>
            </w:r>
          </w:p>
        </w:tc>
        <w:tc>
          <w:tcPr>
            <w:tcW w:w="1232" w:type="dxa"/>
            <w:noWrap/>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spacing w:after="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11.39</w:t>
            </w:r>
          </w:p>
        </w:tc>
        <w:tc>
          <w:tcPr>
            <w:tcW w:w="1245" w:type="dxa"/>
            <w:noWrap w:val="0"/>
            <w:vAlign w:val="center"/>
          </w:tcPr>
          <w:p>
            <w:pPr>
              <w:keepNext w:val="0"/>
              <w:keepLines w:val="0"/>
              <w:pageBreakBefore w:val="0"/>
              <w:widowControl/>
              <w:kinsoku/>
              <w:wordWrap/>
              <w:overflowPunct/>
              <w:topLinePunct w:val="0"/>
              <w:autoSpaceDE/>
              <w:autoSpaceDN/>
              <w:bidi w:val="0"/>
              <w:adjustRightInd/>
              <w:spacing w:after="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477.90</w:t>
            </w:r>
          </w:p>
        </w:tc>
      </w:tr>
    </w:tbl>
    <w:p>
      <w:pPr>
        <w:pStyle w:val="9"/>
        <w:ind w:firstLine="496"/>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柳州市三江侗族</w:t>
      </w:r>
      <w:r>
        <w:rPr>
          <w:rFonts w:hint="eastAsia" w:ascii="Times New Roman" w:hAnsi="Times New Roman" w:eastAsia="仿宋" w:cs="Times New Roman"/>
          <w:color w:val="auto"/>
          <w:spacing w:val="0"/>
          <w:kern w:val="0"/>
          <w:sz w:val="24"/>
          <w:szCs w:val="24"/>
          <w:lang w:val="en-US" w:eastAsia="zh-CN" w:bidi="ar-SA"/>
        </w:rPr>
        <w:t>自治区</w:t>
      </w:r>
      <w:r>
        <w:rPr>
          <w:rFonts w:hint="eastAsia" w:eastAsia="仿宋" w:cs="Times New Roman"/>
          <w:color w:val="auto"/>
          <w:spacing w:val="0"/>
          <w:kern w:val="0"/>
          <w:sz w:val="24"/>
          <w:szCs w:val="24"/>
          <w:lang w:val="en-US" w:eastAsia="zh-CN" w:bidi="ar-SA"/>
        </w:rPr>
        <w:t>属于</w:t>
      </w:r>
      <w:r>
        <w:rPr>
          <w:rFonts w:hint="eastAsia" w:ascii="Times New Roman" w:hAnsi="Times New Roman" w:eastAsia="仿宋" w:cs="Times New Roman"/>
          <w:color w:val="auto"/>
          <w:spacing w:val="0"/>
          <w:kern w:val="0"/>
          <w:sz w:val="24"/>
          <w:szCs w:val="24"/>
          <w:lang w:val="en-US" w:eastAsia="zh-CN" w:bidi="ar-SA"/>
        </w:rPr>
        <w:t>柳江上游</w:t>
      </w:r>
      <w:r>
        <w:rPr>
          <w:rFonts w:hint="default" w:ascii="Times New Roman" w:hAnsi="Times New Roman" w:eastAsia="仿宋" w:cs="Times New Roman"/>
          <w:color w:val="auto"/>
          <w:spacing w:val="0"/>
          <w:kern w:val="0"/>
          <w:sz w:val="24"/>
          <w:szCs w:val="24"/>
          <w:lang w:val="en-US" w:eastAsia="zh-CN" w:bidi="ar-SA"/>
        </w:rPr>
        <w:t>自治区级水土流失重点预防区。根据《土壤侵蚀分类分级标准》（SL190-2007），项目建设区沿途经过的地区为属于全国土壤侵蚀类型Ⅱ级</w:t>
      </w:r>
      <w:r>
        <w:rPr>
          <w:rFonts w:hint="default" w:ascii="Times New Roman" w:hAnsi="Times New Roman" w:eastAsia="仿宋_GB2312" w:cs="Times New Roman"/>
          <w:color w:val="auto"/>
        </w:rPr>
        <w:t>区划的</w:t>
      </w:r>
      <w:r>
        <w:rPr>
          <w:rFonts w:hint="eastAsia" w:ascii="Times New Roman" w:hAnsi="Times New Roman" w:eastAsia="仿宋_GB2312" w:cs="Times New Roman"/>
          <w:color w:val="auto"/>
          <w:lang w:eastAsia="zh-CN"/>
        </w:rPr>
        <w:t>西南岩溶</w:t>
      </w:r>
      <w:r>
        <w:rPr>
          <w:rFonts w:hint="default" w:ascii="Times New Roman" w:hAnsi="Times New Roman" w:eastAsia="仿宋_GB2312" w:cs="Times New Roman"/>
          <w:color w:val="auto"/>
        </w:rPr>
        <w:t>区</w:t>
      </w:r>
      <w:r>
        <w:rPr>
          <w:rFonts w:hint="default" w:ascii="Times New Roman" w:hAnsi="Times New Roman" w:eastAsia="仿宋" w:cs="Times New Roman"/>
          <w:color w:val="auto"/>
          <w:spacing w:val="0"/>
          <w:kern w:val="0"/>
          <w:sz w:val="24"/>
          <w:szCs w:val="24"/>
          <w:lang w:val="en-US" w:eastAsia="zh-CN" w:bidi="ar-SA"/>
        </w:rPr>
        <w:t>，容许土壤流失量为 500t/(km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·a)。</w:t>
      </w:r>
    </w:p>
    <w:p>
      <w:pPr>
        <w:pStyle w:val="9"/>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default" w:ascii="Times New Roman" w:hAnsi="Times New Roman" w:eastAsia="仿宋" w:cs="Times New Roman"/>
          <w:b/>
          <w:bCs/>
          <w:color w:val="auto"/>
          <w:spacing w:val="0"/>
          <w:kern w:val="0"/>
          <w:sz w:val="24"/>
          <w:szCs w:val="24"/>
          <w:lang w:val="en-US" w:eastAsia="zh-CN" w:bidi="ar-SA"/>
        </w:rPr>
      </w:pPr>
      <w:bookmarkStart w:id="8" w:name="_Toc28598"/>
      <w:bookmarkStart w:id="9" w:name="_Toc25893"/>
      <w:r>
        <w:rPr>
          <w:rFonts w:hint="default" w:ascii="Times New Roman" w:hAnsi="Times New Roman" w:eastAsia="仿宋" w:cs="Times New Roman"/>
          <w:b/>
          <w:bCs/>
          <w:color w:val="auto"/>
          <w:spacing w:val="0"/>
          <w:kern w:val="0"/>
          <w:sz w:val="24"/>
          <w:szCs w:val="24"/>
          <w:lang w:val="en-US" w:eastAsia="zh-CN" w:bidi="ar-SA"/>
        </w:rPr>
        <w:t>1.3 水土保持工作情况</w:t>
      </w:r>
      <w:bookmarkEnd w:id="8"/>
      <w:bookmarkEnd w:id="9"/>
    </w:p>
    <w:p>
      <w:pPr>
        <w:pStyle w:val="9"/>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201</w:t>
      </w:r>
      <w:r>
        <w:rPr>
          <w:rFonts w:hint="eastAsia" w:eastAsia="仿宋" w:cs="Times New Roman"/>
          <w:color w:val="auto"/>
          <w:spacing w:val="0"/>
          <w:kern w:val="0"/>
          <w:sz w:val="24"/>
          <w:szCs w:val="24"/>
          <w:lang w:val="en-US" w:eastAsia="zh-CN" w:bidi="ar-SA"/>
        </w:rPr>
        <w:t>9</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6</w:t>
      </w:r>
      <w:r>
        <w:rPr>
          <w:rFonts w:hint="default" w:ascii="Times New Roman" w:hAnsi="Times New Roman" w:eastAsia="仿宋" w:cs="Times New Roman"/>
          <w:color w:val="auto"/>
          <w:spacing w:val="0"/>
          <w:kern w:val="0"/>
          <w:sz w:val="24"/>
          <w:szCs w:val="24"/>
          <w:lang w:val="en-US" w:eastAsia="zh-CN" w:bidi="ar-SA"/>
        </w:rPr>
        <w:t>月，建设单位按照水土保持法等相关法律、法规规定，委托广西广蓝工程设计咨询有限公司编制</w:t>
      </w:r>
      <w:r>
        <w:rPr>
          <w:rFonts w:hint="eastAsia" w:eastAsia="仿宋" w:cs="Times New Roman"/>
          <w:color w:val="auto"/>
          <w:spacing w:val="0"/>
          <w:kern w:val="0"/>
          <w:sz w:val="24"/>
          <w:szCs w:val="24"/>
          <w:lang w:val="en-US" w:eastAsia="zh-CN" w:bidi="ar-SA"/>
        </w:rPr>
        <w:t>三江侗天宫景区项目</w:t>
      </w:r>
      <w:r>
        <w:rPr>
          <w:rFonts w:hint="default" w:ascii="Times New Roman" w:hAnsi="Times New Roman" w:eastAsia="仿宋" w:cs="Times New Roman"/>
          <w:color w:val="auto"/>
          <w:spacing w:val="0"/>
          <w:kern w:val="0"/>
          <w:sz w:val="24"/>
          <w:szCs w:val="24"/>
          <w:lang w:val="en-US" w:eastAsia="zh-CN" w:bidi="ar-SA"/>
        </w:rPr>
        <w:t>水土保持方案报告书。201</w:t>
      </w:r>
      <w:r>
        <w:rPr>
          <w:rFonts w:hint="eastAsia" w:eastAsia="仿宋" w:cs="Times New Roman"/>
          <w:color w:val="auto"/>
          <w:spacing w:val="0"/>
          <w:kern w:val="0"/>
          <w:sz w:val="24"/>
          <w:szCs w:val="24"/>
          <w:lang w:val="en-US" w:eastAsia="zh-CN" w:bidi="ar-SA"/>
        </w:rPr>
        <w:t>9</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11</w:t>
      </w:r>
      <w:r>
        <w:rPr>
          <w:rFonts w:hint="default" w:ascii="Times New Roman" w:hAnsi="Times New Roman" w:eastAsia="仿宋" w:cs="Times New Roman"/>
          <w:color w:val="auto"/>
          <w:spacing w:val="0"/>
          <w:kern w:val="0"/>
          <w:sz w:val="24"/>
          <w:szCs w:val="24"/>
          <w:lang w:val="en-US" w:eastAsia="zh-CN" w:bidi="ar-SA"/>
        </w:rPr>
        <w:t>月</w:t>
      </w:r>
      <w:r>
        <w:rPr>
          <w:rFonts w:hint="eastAsia" w:eastAsia="仿宋" w:cs="Times New Roman"/>
          <w:color w:val="auto"/>
          <w:spacing w:val="0"/>
          <w:kern w:val="0"/>
          <w:sz w:val="24"/>
          <w:szCs w:val="24"/>
          <w:lang w:val="en-US" w:eastAsia="zh-CN" w:bidi="ar-SA"/>
        </w:rPr>
        <w:t>11日三江侗族自治县水利局</w:t>
      </w:r>
      <w:r>
        <w:rPr>
          <w:rFonts w:hint="default" w:ascii="Times New Roman" w:hAnsi="Times New Roman" w:eastAsia="仿宋" w:cs="Times New Roman"/>
          <w:color w:val="auto"/>
          <w:spacing w:val="0"/>
          <w:kern w:val="0"/>
          <w:sz w:val="24"/>
          <w:szCs w:val="24"/>
          <w:lang w:val="en-US" w:eastAsia="zh-CN" w:bidi="ar-SA"/>
        </w:rPr>
        <w:t>以《关于</w:t>
      </w:r>
      <w:r>
        <w:rPr>
          <w:rFonts w:hint="eastAsia" w:eastAsia="仿宋" w:cs="Times New Roman"/>
          <w:color w:val="auto"/>
          <w:spacing w:val="0"/>
          <w:kern w:val="0"/>
          <w:sz w:val="24"/>
          <w:szCs w:val="24"/>
          <w:lang w:val="en-US" w:eastAsia="zh-CN" w:bidi="ar-SA"/>
        </w:rPr>
        <w:t>三江侗天宫景区项目</w:t>
      </w:r>
      <w:r>
        <w:rPr>
          <w:rFonts w:hint="default" w:ascii="Times New Roman" w:hAnsi="Times New Roman" w:eastAsia="仿宋" w:cs="Times New Roman"/>
          <w:color w:val="auto"/>
          <w:spacing w:val="0"/>
          <w:kern w:val="0"/>
          <w:sz w:val="24"/>
          <w:szCs w:val="24"/>
          <w:lang w:val="en-US" w:eastAsia="zh-CN" w:bidi="ar-SA"/>
        </w:rPr>
        <w:t>水土保持方案的批复》（</w:t>
      </w:r>
      <w:r>
        <w:rPr>
          <w:rFonts w:hint="eastAsia" w:eastAsia="仿宋" w:cs="Times New Roman"/>
          <w:color w:val="auto"/>
          <w:spacing w:val="0"/>
          <w:kern w:val="0"/>
          <w:sz w:val="24"/>
          <w:szCs w:val="24"/>
          <w:lang w:val="en-US" w:eastAsia="zh-CN" w:bidi="ar-SA"/>
        </w:rPr>
        <w:t>三水水保涵</w:t>
      </w:r>
      <w:r>
        <w:rPr>
          <w:rFonts w:hint="default" w:ascii="Times New Roman" w:hAnsi="Times New Roman" w:eastAsia="仿宋" w:cs="Times New Roman"/>
          <w:color w:val="auto"/>
          <w:spacing w:val="0"/>
          <w:kern w:val="0"/>
          <w:sz w:val="24"/>
          <w:szCs w:val="24"/>
          <w:lang w:val="en-US" w:eastAsia="zh-CN" w:bidi="ar-SA"/>
        </w:rPr>
        <w:t>[201</w:t>
      </w:r>
      <w:r>
        <w:rPr>
          <w:rFonts w:hint="eastAsia" w:eastAsia="仿宋" w:cs="Times New Roman"/>
          <w:color w:val="auto"/>
          <w:spacing w:val="0"/>
          <w:kern w:val="0"/>
          <w:sz w:val="24"/>
          <w:szCs w:val="24"/>
          <w:lang w:val="en-US" w:eastAsia="zh-CN" w:bidi="ar-SA"/>
        </w:rPr>
        <w:t>9</w:t>
      </w:r>
      <w:r>
        <w:rPr>
          <w:rFonts w:hint="default" w:ascii="Times New Roman" w:hAnsi="Times New Roman" w:eastAsia="仿宋" w:cs="Times New Roman"/>
          <w:color w:val="auto"/>
          <w:spacing w:val="0"/>
          <w:kern w:val="0"/>
          <w:sz w:val="24"/>
          <w:szCs w:val="24"/>
          <w:lang w:val="en-US" w:eastAsia="zh-CN" w:bidi="ar-SA"/>
        </w:rPr>
        <w:t>]</w:t>
      </w:r>
      <w:r>
        <w:rPr>
          <w:rFonts w:hint="eastAsia" w:eastAsia="仿宋" w:cs="Times New Roman"/>
          <w:color w:val="auto"/>
          <w:spacing w:val="0"/>
          <w:kern w:val="0"/>
          <w:sz w:val="24"/>
          <w:szCs w:val="24"/>
          <w:lang w:val="en-US" w:eastAsia="zh-CN" w:bidi="ar-SA"/>
        </w:rPr>
        <w:t>54</w:t>
      </w:r>
      <w:r>
        <w:rPr>
          <w:rFonts w:hint="default" w:ascii="Times New Roman" w:hAnsi="Times New Roman" w:eastAsia="仿宋" w:cs="Times New Roman"/>
          <w:color w:val="auto"/>
          <w:spacing w:val="0"/>
          <w:kern w:val="0"/>
          <w:sz w:val="24"/>
          <w:szCs w:val="24"/>
          <w:lang w:val="en-US" w:eastAsia="zh-CN" w:bidi="ar-SA"/>
        </w:rPr>
        <w:t>号）予以批复。</w:t>
      </w:r>
    </w:p>
    <w:p>
      <w:pPr>
        <w:pStyle w:val="9"/>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批复的水土保持方案报告书及批复文件要求，建设单位内部设立了工程部，有专职人员负责工程水土保持工作，将水土保持措施纳入到主体工程施工计划中，严格落实水土保持各项防护措施，做到“三同时”，已完成的水土保持设施布设基本完善</w:t>
      </w:r>
      <w:r>
        <w:rPr>
          <w:rFonts w:hint="eastAsia" w:eastAsia="仿宋" w:cs="Times New Roman"/>
          <w:color w:val="auto"/>
          <w:spacing w:val="0"/>
          <w:kern w:val="0"/>
          <w:sz w:val="24"/>
          <w:szCs w:val="24"/>
          <w:lang w:val="en-US" w:eastAsia="zh-CN" w:bidi="ar-SA"/>
        </w:rPr>
        <w:t>。</w:t>
      </w:r>
    </w:p>
    <w:p>
      <w:pPr>
        <w:pStyle w:val="9"/>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eastAsia" w:eastAsia="仿宋" w:cs="Times New Roman"/>
          <w:color w:val="auto"/>
          <w:spacing w:val="0"/>
          <w:kern w:val="0"/>
          <w:sz w:val="24"/>
          <w:szCs w:val="24"/>
          <w:lang w:val="en-US" w:eastAsia="zh-CN" w:bidi="ar-SA"/>
        </w:rPr>
        <w:t>2019</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11</w:t>
      </w:r>
      <w:r>
        <w:rPr>
          <w:rFonts w:hint="default" w:ascii="Times New Roman" w:hAnsi="Times New Roman" w:eastAsia="仿宋" w:cs="Times New Roman"/>
          <w:color w:val="auto"/>
          <w:spacing w:val="0"/>
          <w:kern w:val="0"/>
          <w:sz w:val="24"/>
          <w:szCs w:val="24"/>
          <w:lang w:val="en-US" w:eastAsia="zh-CN" w:bidi="ar-SA"/>
        </w:rPr>
        <w:t>月，建设单位</w:t>
      </w:r>
      <w:r>
        <w:rPr>
          <w:rFonts w:hint="eastAsia" w:eastAsia="仿宋" w:cs="Times New Roman"/>
          <w:color w:val="auto"/>
          <w:spacing w:val="0"/>
          <w:kern w:val="0"/>
          <w:sz w:val="24"/>
          <w:szCs w:val="24"/>
          <w:lang w:val="en-US" w:eastAsia="zh-CN" w:bidi="ar-SA"/>
        </w:rPr>
        <w:t>三江县福达文旅有限公司</w:t>
      </w:r>
      <w:r>
        <w:rPr>
          <w:rFonts w:hint="default" w:ascii="Times New Roman" w:hAnsi="Times New Roman" w:eastAsia="仿宋" w:cs="Times New Roman"/>
          <w:color w:val="auto"/>
          <w:spacing w:val="0"/>
          <w:kern w:val="0"/>
          <w:sz w:val="24"/>
          <w:szCs w:val="24"/>
          <w:lang w:val="en-US" w:eastAsia="zh-CN" w:bidi="ar-SA"/>
        </w:rPr>
        <w:t>委托南宁赛伦沃特工程咨询有限公司进行</w:t>
      </w:r>
      <w:r>
        <w:rPr>
          <w:rFonts w:hint="eastAsia" w:eastAsia="仿宋" w:cs="Times New Roman"/>
          <w:color w:val="auto"/>
          <w:spacing w:val="0"/>
          <w:kern w:val="0"/>
          <w:sz w:val="24"/>
          <w:szCs w:val="24"/>
          <w:lang w:val="en-US" w:eastAsia="zh-CN" w:bidi="ar-SA"/>
        </w:rPr>
        <w:t>三江侗天宫景区项目</w:t>
      </w:r>
      <w:r>
        <w:rPr>
          <w:rFonts w:hint="default" w:ascii="Times New Roman" w:hAnsi="Times New Roman" w:eastAsia="仿宋" w:cs="Times New Roman"/>
          <w:color w:val="auto"/>
          <w:spacing w:val="0"/>
          <w:kern w:val="0"/>
          <w:sz w:val="24"/>
          <w:szCs w:val="24"/>
          <w:lang w:val="en-US" w:eastAsia="zh-CN" w:bidi="ar-SA"/>
        </w:rPr>
        <w:t>水土保持监测工作，水土保持监测时段为20</w:t>
      </w:r>
      <w:r>
        <w:rPr>
          <w:rFonts w:hint="eastAsia" w:eastAsia="仿宋" w:cs="Times New Roman"/>
          <w:color w:val="auto"/>
          <w:spacing w:val="0"/>
          <w:kern w:val="0"/>
          <w:sz w:val="24"/>
          <w:szCs w:val="24"/>
          <w:lang w:val="en-US" w:eastAsia="zh-CN" w:bidi="ar-SA"/>
        </w:rPr>
        <w:t>19</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11</w:t>
      </w:r>
      <w:r>
        <w:rPr>
          <w:rFonts w:hint="default" w:ascii="Times New Roman" w:hAnsi="Times New Roman" w:eastAsia="仿宋" w:cs="Times New Roman"/>
          <w:color w:val="auto"/>
          <w:spacing w:val="0"/>
          <w:kern w:val="0"/>
          <w:sz w:val="24"/>
          <w:szCs w:val="24"/>
          <w:lang w:val="en-US" w:eastAsia="zh-CN" w:bidi="ar-SA"/>
        </w:rPr>
        <w:t>月～20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12</w:t>
      </w:r>
      <w:r>
        <w:rPr>
          <w:rFonts w:hint="default" w:ascii="Times New Roman" w:hAnsi="Times New Roman" w:eastAsia="仿宋" w:cs="Times New Roman"/>
          <w:color w:val="auto"/>
          <w:spacing w:val="0"/>
          <w:kern w:val="0"/>
          <w:sz w:val="24"/>
          <w:szCs w:val="24"/>
          <w:lang w:val="en-US" w:eastAsia="zh-CN" w:bidi="ar-SA"/>
        </w:rPr>
        <w:t>月，在本项目的水土保持监测时段内，根据水土保持阶段性监测报告反馈的意见和问题，建设单位能积极整改并落实完善相应的水土保持措施，采取的水土保持措施取得一定的保持水土的效果。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eastAsia="仿宋" w:cs="Times New Roman"/>
          <w:color w:val="auto"/>
          <w:spacing w:val="0"/>
          <w:kern w:val="0"/>
          <w:sz w:val="24"/>
          <w:szCs w:val="24"/>
          <w:lang w:val="en-US" w:eastAsia="zh-CN" w:bidi="ar-SA"/>
        </w:rPr>
      </w:pPr>
      <w:r>
        <w:rPr>
          <w:rFonts w:hint="eastAsia" w:eastAsia="仿宋" w:cs="Times New Roman"/>
          <w:color w:val="auto"/>
          <w:spacing w:val="0"/>
          <w:kern w:val="0"/>
          <w:sz w:val="24"/>
          <w:szCs w:val="24"/>
          <w:lang w:val="en-US" w:eastAsia="zh-CN" w:bidi="ar-SA"/>
        </w:rPr>
        <w:t>三江侗天宫景区项目</w:t>
      </w:r>
      <w:r>
        <w:rPr>
          <w:rFonts w:hint="default" w:ascii="Times New Roman" w:hAnsi="Times New Roman" w:eastAsia="仿宋" w:cs="Times New Roman"/>
          <w:color w:val="auto"/>
          <w:spacing w:val="0"/>
          <w:kern w:val="0"/>
          <w:sz w:val="24"/>
          <w:szCs w:val="24"/>
          <w:lang w:val="en-US" w:eastAsia="zh-CN" w:bidi="ar-SA"/>
        </w:rPr>
        <w:t>完成的水土保持措施包括</w:t>
      </w:r>
      <w:r>
        <w:rPr>
          <w:rFonts w:hint="eastAsia" w:eastAsia="仿宋" w:cs="Times New Roman"/>
          <w:color w:val="auto"/>
          <w:spacing w:val="0"/>
          <w:kern w:val="0"/>
          <w:sz w:val="24"/>
          <w:szCs w:val="24"/>
          <w:lang w:val="en-US" w:eastAsia="zh-CN" w:bidi="ar-SA"/>
        </w:rPr>
        <w:t>雨水管网1093</w:t>
      </w:r>
      <w:r>
        <w:rPr>
          <w:rFonts w:hint="default" w:ascii="Times New Roman" w:hAnsi="Times New Roman" w:eastAsia="仿宋" w:cs="Times New Roman"/>
          <w:color w:val="auto"/>
          <w:spacing w:val="0"/>
          <w:kern w:val="0"/>
          <w:sz w:val="24"/>
          <w:szCs w:val="24"/>
          <w:lang w:val="en-US" w:eastAsia="zh-CN" w:bidi="ar-SA"/>
        </w:rPr>
        <w:t>m</w:t>
      </w:r>
      <w:r>
        <w:rPr>
          <w:rFonts w:hint="default" w:ascii="Times New Roman" w:hAnsi="Times New Roman" w:eastAsia="仿宋" w:cs="Times New Roman"/>
          <w:color w:val="auto"/>
          <w:spacing w:val="0"/>
          <w:kern w:val="0"/>
          <w:sz w:val="24"/>
          <w:szCs w:val="24"/>
          <w:lang w:val="en-US" w:eastAsia="zh-CN" w:bidi="ar-SA"/>
        </w:rPr>
        <w:t>，</w:t>
      </w:r>
      <w:r>
        <w:rPr>
          <w:rFonts w:hint="eastAsia" w:eastAsia="仿宋" w:cs="Times New Roman"/>
          <w:color w:val="auto"/>
          <w:spacing w:val="0"/>
          <w:kern w:val="0"/>
          <w:sz w:val="24"/>
          <w:szCs w:val="24"/>
          <w:lang w:val="en-US" w:eastAsia="zh-CN" w:bidi="ar-SA"/>
        </w:rPr>
        <w:t>雨水检查井7个，绿化覆土1026m</w:t>
      </w:r>
      <w:r>
        <w:rPr>
          <w:rFonts w:hint="eastAsia" w:eastAsia="仿宋" w:cs="Times New Roman"/>
          <w:color w:val="auto"/>
          <w:spacing w:val="0"/>
          <w:kern w:val="0"/>
          <w:sz w:val="24"/>
          <w:szCs w:val="24"/>
          <w:vertAlign w:val="superscript"/>
          <w:lang w:val="en-US" w:eastAsia="zh-CN" w:bidi="ar-SA"/>
        </w:rPr>
        <w:t>3</w:t>
      </w:r>
      <w:r>
        <w:rPr>
          <w:rFonts w:hint="eastAsia" w:eastAsia="仿宋" w:cs="Times New Roman"/>
          <w:color w:val="auto"/>
          <w:spacing w:val="0"/>
          <w:kern w:val="0"/>
          <w:sz w:val="24"/>
          <w:szCs w:val="24"/>
          <w:lang w:val="en-US" w:eastAsia="zh-CN" w:bidi="ar-SA"/>
        </w:rPr>
        <w:t>；铺透水砖307m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，景观绿化5128m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，彩条布覆盖1200m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，临时砖砌排水沟300m，砖砌沉砂池3个</w:t>
      </w:r>
      <w:r>
        <w:rPr>
          <w:rFonts w:hint="eastAsia" w:eastAsia="仿宋" w:cs="Times New Roman"/>
          <w:color w:val="auto"/>
          <w:spacing w:val="0"/>
          <w:kern w:val="0"/>
          <w:sz w:val="24"/>
          <w:szCs w:val="24"/>
          <w:lang w:val="en-US" w:eastAsia="zh-CN" w:bidi="ar-SA"/>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共完成水土保持投资为</w:t>
      </w:r>
      <w:r>
        <w:rPr>
          <w:rFonts w:hint="eastAsia" w:eastAsia="仿宋" w:cs="Times New Roman"/>
          <w:color w:val="auto"/>
          <w:spacing w:val="0"/>
          <w:kern w:val="0"/>
          <w:sz w:val="24"/>
          <w:szCs w:val="24"/>
          <w:lang w:val="en-US" w:eastAsia="zh-CN" w:bidi="ar-SA"/>
        </w:rPr>
        <w:t>94.08</w:t>
      </w:r>
      <w:r>
        <w:rPr>
          <w:rFonts w:hint="default" w:ascii="Times New Roman" w:hAnsi="Times New Roman" w:eastAsia="仿宋" w:cs="Times New Roman"/>
          <w:color w:val="auto"/>
          <w:spacing w:val="0"/>
          <w:kern w:val="0"/>
          <w:sz w:val="24"/>
          <w:szCs w:val="24"/>
          <w:lang w:val="en-US" w:eastAsia="zh-CN" w:bidi="ar-SA"/>
        </w:rPr>
        <w:t>万元，其中工程措施投资</w:t>
      </w:r>
      <w:r>
        <w:rPr>
          <w:rFonts w:hint="eastAsia" w:eastAsia="仿宋" w:cs="Times New Roman"/>
          <w:color w:val="auto"/>
          <w:spacing w:val="0"/>
          <w:kern w:val="0"/>
          <w:sz w:val="24"/>
          <w:szCs w:val="24"/>
          <w:lang w:val="en-US" w:eastAsia="zh-CN" w:bidi="ar-SA"/>
        </w:rPr>
        <w:t>19.86</w:t>
      </w:r>
      <w:r>
        <w:rPr>
          <w:rFonts w:hint="default" w:ascii="Times New Roman" w:hAnsi="Times New Roman" w:eastAsia="仿宋" w:cs="Times New Roman"/>
          <w:color w:val="auto"/>
          <w:spacing w:val="0"/>
          <w:kern w:val="0"/>
          <w:sz w:val="24"/>
          <w:szCs w:val="24"/>
          <w:lang w:val="en-US" w:eastAsia="zh-CN" w:bidi="ar-SA"/>
        </w:rPr>
        <w:t>万元、植物措施投资</w:t>
      </w:r>
      <w:r>
        <w:rPr>
          <w:rFonts w:hint="eastAsia" w:eastAsia="仿宋" w:cs="Times New Roman"/>
          <w:color w:val="auto"/>
          <w:spacing w:val="0"/>
          <w:kern w:val="0"/>
          <w:sz w:val="24"/>
          <w:szCs w:val="24"/>
          <w:lang w:val="en-US" w:eastAsia="zh-CN" w:bidi="ar-SA"/>
        </w:rPr>
        <w:t>41.80</w:t>
      </w:r>
      <w:r>
        <w:rPr>
          <w:rFonts w:hint="default" w:ascii="Times New Roman" w:hAnsi="Times New Roman" w:eastAsia="仿宋" w:cs="Times New Roman"/>
          <w:color w:val="auto"/>
          <w:spacing w:val="0"/>
          <w:kern w:val="0"/>
          <w:sz w:val="24"/>
          <w:szCs w:val="24"/>
          <w:lang w:val="en-US" w:eastAsia="zh-CN" w:bidi="ar-SA"/>
        </w:rPr>
        <w:t>万元、临时措施投资</w:t>
      </w:r>
      <w:r>
        <w:rPr>
          <w:rFonts w:hint="eastAsia" w:eastAsia="仿宋" w:cs="Times New Roman"/>
          <w:color w:val="auto"/>
          <w:spacing w:val="0"/>
          <w:kern w:val="0"/>
          <w:sz w:val="24"/>
          <w:szCs w:val="24"/>
          <w:lang w:val="en-US" w:eastAsia="zh-CN" w:bidi="ar-SA"/>
        </w:rPr>
        <w:t>7.52</w:t>
      </w:r>
      <w:r>
        <w:rPr>
          <w:rFonts w:hint="default" w:ascii="Times New Roman" w:hAnsi="Times New Roman" w:eastAsia="仿宋" w:cs="Times New Roman"/>
          <w:color w:val="auto"/>
          <w:spacing w:val="0"/>
          <w:kern w:val="0"/>
          <w:sz w:val="24"/>
          <w:szCs w:val="24"/>
          <w:lang w:val="en-US" w:eastAsia="zh-CN" w:bidi="ar-SA"/>
        </w:rPr>
        <w:t>万元、独立费用</w:t>
      </w:r>
      <w:r>
        <w:rPr>
          <w:rFonts w:hint="eastAsia" w:eastAsia="仿宋" w:cs="Times New Roman"/>
          <w:color w:val="auto"/>
          <w:spacing w:val="0"/>
          <w:kern w:val="0"/>
          <w:sz w:val="24"/>
          <w:szCs w:val="24"/>
          <w:lang w:val="en-US" w:eastAsia="zh-CN" w:bidi="ar-SA"/>
        </w:rPr>
        <w:t>21.38</w:t>
      </w:r>
      <w:r>
        <w:rPr>
          <w:rFonts w:hint="default" w:ascii="Times New Roman" w:hAnsi="Times New Roman" w:eastAsia="仿宋" w:cs="Times New Roman"/>
          <w:color w:val="auto"/>
          <w:spacing w:val="0"/>
          <w:kern w:val="0"/>
          <w:sz w:val="24"/>
          <w:szCs w:val="24"/>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Times New Roman" w:cs="Times New Roman"/>
          <w:b/>
          <w:bCs/>
          <w:color w:val="auto"/>
          <w:spacing w:val="1"/>
          <w:w w:val="100"/>
          <w:sz w:val="30"/>
          <w:szCs w:val="30"/>
        </w:rPr>
      </w:pPr>
      <w:bookmarkStart w:id="10" w:name="_Toc12394"/>
      <w:bookmarkStart w:id="11" w:name="_Toc22171"/>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z w:val="30"/>
          <w:szCs w:val="30"/>
        </w:rPr>
      </w:pPr>
      <w:r>
        <w:rPr>
          <w:rFonts w:hint="default" w:ascii="Times New Roman" w:hAnsi="Times New Roman" w:eastAsia="Times New Roman" w:cs="Times New Roman"/>
          <w:b/>
          <w:bCs/>
          <w:color w:val="auto"/>
          <w:spacing w:val="1"/>
          <w:w w:val="100"/>
          <w:sz w:val="30"/>
          <w:szCs w:val="30"/>
        </w:rPr>
        <w:t>1</w:t>
      </w:r>
      <w:r>
        <w:rPr>
          <w:rFonts w:hint="default" w:ascii="Times New Roman" w:hAnsi="Times New Roman" w:eastAsia="Times New Roman" w:cs="Times New Roman"/>
          <w:b/>
          <w:bCs/>
          <w:color w:val="auto"/>
          <w:spacing w:val="-1"/>
          <w:w w:val="100"/>
          <w:sz w:val="30"/>
          <w:szCs w:val="30"/>
        </w:rPr>
        <w:t>.</w:t>
      </w:r>
      <w:r>
        <w:rPr>
          <w:rFonts w:hint="default" w:ascii="Times New Roman" w:hAnsi="Times New Roman" w:eastAsia="Times New Roman" w:cs="Times New Roman"/>
          <w:b/>
          <w:bCs/>
          <w:color w:val="auto"/>
          <w:spacing w:val="0"/>
          <w:w w:val="100"/>
          <w:sz w:val="30"/>
          <w:szCs w:val="30"/>
        </w:rPr>
        <w:t xml:space="preserve">4  </w:t>
      </w:r>
      <w:r>
        <w:rPr>
          <w:rFonts w:hint="default" w:ascii="Times New Roman" w:hAnsi="Times New Roman" w:eastAsia="仿宋" w:cs="Times New Roman"/>
          <w:b/>
          <w:bCs/>
          <w:color w:val="auto"/>
          <w:spacing w:val="2"/>
          <w:w w:val="100"/>
          <w:sz w:val="30"/>
          <w:szCs w:val="30"/>
        </w:rPr>
        <w:t>监测</w:t>
      </w:r>
      <w:r>
        <w:rPr>
          <w:rFonts w:hint="default" w:ascii="Times New Roman" w:hAnsi="Times New Roman" w:eastAsia="仿宋" w:cs="Times New Roman"/>
          <w:b/>
          <w:bCs/>
          <w:color w:val="auto"/>
          <w:spacing w:val="0"/>
          <w:w w:val="100"/>
          <w:sz w:val="30"/>
          <w:szCs w:val="30"/>
        </w:rPr>
        <w:t>工</w:t>
      </w:r>
      <w:r>
        <w:rPr>
          <w:rFonts w:hint="default" w:ascii="Times New Roman" w:hAnsi="Times New Roman" w:eastAsia="仿宋" w:cs="Times New Roman"/>
          <w:b/>
          <w:bCs/>
          <w:color w:val="auto"/>
          <w:spacing w:val="2"/>
          <w:w w:val="100"/>
          <w:sz w:val="30"/>
          <w:szCs w:val="30"/>
        </w:rPr>
        <w:t>作</w:t>
      </w:r>
      <w:r>
        <w:rPr>
          <w:rFonts w:hint="default" w:ascii="Times New Roman" w:hAnsi="Times New Roman" w:eastAsia="仿宋" w:cs="Times New Roman"/>
          <w:b/>
          <w:bCs/>
          <w:color w:val="auto"/>
          <w:spacing w:val="0"/>
          <w:w w:val="100"/>
          <w:sz w:val="30"/>
          <w:szCs w:val="30"/>
        </w:rPr>
        <w:t>实施况</w:t>
      </w:r>
      <w:bookmarkEnd w:id="10"/>
      <w:bookmarkEnd w:id="11"/>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auto"/>
          <w:spacing w:val="0"/>
          <w:w w:val="100"/>
          <w:sz w:val="24"/>
          <w:szCs w:val="24"/>
        </w:rPr>
      </w:pPr>
      <w:r>
        <w:rPr>
          <w:rFonts w:hint="default" w:ascii="Times New Roman" w:hAnsi="Times New Roman" w:eastAsia="Times New Roman" w:cs="Times New Roman"/>
          <w:b/>
          <w:bCs/>
          <w:color w:val="auto"/>
          <w:spacing w:val="1"/>
          <w:w w:val="100"/>
          <w:sz w:val="24"/>
          <w:szCs w:val="24"/>
        </w:rPr>
        <w:t>1</w:t>
      </w:r>
      <w:r>
        <w:rPr>
          <w:rFonts w:hint="default" w:ascii="Times New Roman" w:hAnsi="Times New Roman" w:eastAsia="Times New Roman" w:cs="Times New Roman"/>
          <w:b/>
          <w:bCs/>
          <w:color w:val="auto"/>
          <w:spacing w:val="-1"/>
          <w:w w:val="100"/>
          <w:sz w:val="24"/>
          <w:szCs w:val="24"/>
        </w:rPr>
        <w:t>.</w:t>
      </w:r>
      <w:r>
        <w:rPr>
          <w:rFonts w:hint="default" w:ascii="Times New Roman" w:hAnsi="Times New Roman" w:eastAsia="Times New Roman" w:cs="Times New Roman"/>
          <w:b/>
          <w:bCs/>
          <w:color w:val="auto"/>
          <w:spacing w:val="1"/>
          <w:w w:val="100"/>
          <w:sz w:val="24"/>
          <w:szCs w:val="24"/>
        </w:rPr>
        <w:t>4</w:t>
      </w:r>
      <w:r>
        <w:rPr>
          <w:rFonts w:hint="default" w:ascii="Times New Roman" w:hAnsi="Times New Roman" w:eastAsia="Times New Roman" w:cs="Times New Roman"/>
          <w:b/>
          <w:bCs/>
          <w:color w:val="auto"/>
          <w:spacing w:val="-3"/>
          <w:w w:val="100"/>
          <w:sz w:val="24"/>
          <w:szCs w:val="24"/>
        </w:rPr>
        <w:t>.</w:t>
      </w:r>
      <w:r>
        <w:rPr>
          <w:rFonts w:hint="default" w:ascii="Times New Roman" w:hAnsi="Times New Roman" w:eastAsia="Times New Roman" w:cs="Times New Roman"/>
          <w:b/>
          <w:bCs/>
          <w:color w:val="auto"/>
          <w:spacing w:val="0"/>
          <w:w w:val="100"/>
          <w:sz w:val="24"/>
          <w:szCs w:val="24"/>
        </w:rPr>
        <w:t>1</w:t>
      </w:r>
      <w:r>
        <w:rPr>
          <w:rFonts w:hint="default" w:ascii="Times New Roman" w:hAnsi="Times New Roman" w:eastAsia="Times New Roman"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监</w:t>
      </w:r>
      <w:r>
        <w:rPr>
          <w:rFonts w:hint="default" w:ascii="Times New Roman" w:hAnsi="Times New Roman" w:eastAsia="仿宋" w:cs="Times New Roman"/>
          <w:b/>
          <w:bCs/>
          <w:color w:val="auto"/>
          <w:spacing w:val="0"/>
          <w:w w:val="100"/>
          <w:sz w:val="24"/>
          <w:szCs w:val="24"/>
        </w:rPr>
        <w:t>测实</w:t>
      </w:r>
      <w:r>
        <w:rPr>
          <w:rFonts w:hint="default" w:ascii="Times New Roman" w:hAnsi="Times New Roman" w:eastAsia="仿宋" w:cs="Times New Roman"/>
          <w:b/>
          <w:bCs/>
          <w:color w:val="auto"/>
          <w:spacing w:val="2"/>
          <w:w w:val="100"/>
          <w:sz w:val="24"/>
          <w:szCs w:val="24"/>
        </w:rPr>
        <w:t>施</w:t>
      </w:r>
      <w:r>
        <w:rPr>
          <w:rFonts w:hint="default" w:ascii="Times New Roman" w:hAnsi="Times New Roman" w:eastAsia="仿宋" w:cs="Times New Roman"/>
          <w:b/>
          <w:bCs/>
          <w:color w:val="auto"/>
          <w:spacing w:val="0"/>
          <w:w w:val="100"/>
          <w:sz w:val="24"/>
          <w:szCs w:val="24"/>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auto"/>
          <w:sz w:val="12"/>
          <w:szCs w:val="12"/>
        </w:rPr>
      </w:pPr>
      <w:r>
        <w:rPr>
          <w:rFonts w:hint="default" w:ascii="Times New Roman" w:hAnsi="Times New Roman" w:eastAsia="Times New Roman" w:cs="Times New Roman"/>
          <w:color w:val="auto"/>
          <w:spacing w:val="-1"/>
          <w:w w:val="100"/>
          <w:sz w:val="24"/>
          <w:szCs w:val="24"/>
        </w:rPr>
        <w:t>a</w:t>
      </w:r>
      <w:r>
        <w:rPr>
          <w:rFonts w:hint="default" w:ascii="Times New Roman" w:hAnsi="Times New Roman" w:eastAsia="仿宋" w:cs="Times New Roman"/>
          <w:color w:val="auto"/>
          <w:spacing w:val="0"/>
          <w:w w:val="100"/>
          <w:sz w:val="24"/>
          <w:szCs w:val="24"/>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0" w:firstLineChars="200"/>
        <w:jc w:val="both"/>
        <w:textAlignment w:val="auto"/>
        <w:outlineLvl w:val="9"/>
        <w:rPr>
          <w:rFonts w:hint="default" w:ascii="Times New Roman" w:hAnsi="Times New Roman" w:eastAsia="仿宋" w:cs="Times New Roman"/>
          <w:color w:val="auto"/>
          <w:sz w:val="24"/>
          <w:szCs w:val="24"/>
        </w:rPr>
      </w:pPr>
      <w:r>
        <w:rPr>
          <w:rFonts w:hint="eastAsia" w:ascii="Times New Roman" w:hAnsi="Times New Roman" w:eastAsia="宋体" w:cs="Times New Roman"/>
          <w:color w:val="auto"/>
          <w:spacing w:val="0"/>
          <w:w w:val="100"/>
          <w:sz w:val="24"/>
          <w:szCs w:val="24"/>
          <w:lang w:val="en-US" w:eastAsia="zh-CN"/>
        </w:rPr>
        <w:t>2020</w:t>
      </w:r>
      <w:r>
        <w:rPr>
          <w:rFonts w:hint="eastAsia" w:ascii="仿宋" w:hAnsi="仿宋" w:eastAsia="仿宋" w:cs="仿宋"/>
          <w:color w:val="auto"/>
          <w:spacing w:val="0"/>
          <w:w w:val="100"/>
          <w:sz w:val="24"/>
          <w:szCs w:val="24"/>
          <w:lang w:val="en-US" w:eastAsia="zh-CN"/>
        </w:rPr>
        <w:t>年</w:t>
      </w:r>
      <w:r>
        <w:rPr>
          <w:rFonts w:hint="eastAsia" w:ascii="Times New Roman" w:hAnsi="Times New Roman" w:eastAsia="宋体"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rPr>
        <w:t>月</w:t>
      </w:r>
      <w:r>
        <w:rPr>
          <w:rFonts w:hint="default" w:ascii="Times New Roman" w:hAnsi="Times New Roman" w:eastAsia="仿宋" w:cs="Times New Roman"/>
          <w:color w:val="auto"/>
          <w:spacing w:val="-110"/>
          <w:w w:val="100"/>
          <w:sz w:val="24"/>
          <w:szCs w:val="24"/>
        </w:rPr>
        <w:t>，</w:t>
      </w:r>
      <w:r>
        <w:rPr>
          <w:rFonts w:hint="default" w:ascii="Times New Roman" w:hAnsi="Times New Roman" w:eastAsia="仿宋" w:cs="Times New Roman"/>
          <w:color w:val="auto"/>
          <w:spacing w:val="0"/>
          <w:w w:val="100"/>
          <w:sz w:val="24"/>
          <w:szCs w:val="24"/>
        </w:rPr>
        <w:t>建设单位委</w:t>
      </w:r>
      <w:r>
        <w:rPr>
          <w:rFonts w:hint="default" w:ascii="Times New Roman" w:hAnsi="Times New Roman" w:eastAsia="仿宋" w:cs="Times New Roman"/>
          <w:color w:val="auto"/>
          <w:spacing w:val="1"/>
          <w:w w:val="100"/>
          <w:sz w:val="24"/>
          <w:szCs w:val="24"/>
        </w:rPr>
        <w:t>托</w:t>
      </w:r>
      <w:r>
        <w:rPr>
          <w:rFonts w:hint="eastAsia" w:ascii="Times New Roman" w:hAnsi="Times New Roman" w:eastAsia="仿宋" w:cs="Times New Roman"/>
          <w:color w:val="auto"/>
          <w:spacing w:val="0"/>
          <w:w w:val="100"/>
          <w:sz w:val="24"/>
          <w:szCs w:val="24"/>
          <w:lang w:val="en-US" w:eastAsia="zh-CN"/>
        </w:rPr>
        <w:t>南宁赛伦沃特工程咨询有限公司</w:t>
      </w:r>
      <w:r>
        <w:rPr>
          <w:rFonts w:hint="default" w:ascii="Times New Roman" w:hAnsi="Times New Roman" w:eastAsia="仿宋" w:cs="Times New Roman"/>
          <w:color w:val="auto"/>
          <w:spacing w:val="0"/>
          <w:w w:val="100"/>
          <w:sz w:val="24"/>
          <w:szCs w:val="24"/>
        </w:rPr>
        <w:t>进行</w:t>
      </w:r>
      <w:r>
        <w:rPr>
          <w:rFonts w:hint="eastAsia" w:ascii="Times New Roman" w:hAnsi="Times New Roman" w:eastAsia="仿宋" w:cs="Times New Roman"/>
          <w:color w:val="auto"/>
          <w:spacing w:val="0"/>
          <w:w w:val="100"/>
          <w:sz w:val="24"/>
          <w:szCs w:val="24"/>
          <w:lang w:eastAsia="zh-CN"/>
        </w:rPr>
        <w:t>三江侗天宫景区项目</w:t>
      </w:r>
      <w:r>
        <w:rPr>
          <w:rFonts w:hint="default" w:ascii="Times New Roman" w:hAnsi="Times New Roman" w:eastAsia="仿宋" w:cs="Times New Roman"/>
          <w:color w:val="auto"/>
          <w:spacing w:val="0"/>
          <w:w w:val="100"/>
          <w:sz w:val="24"/>
          <w:szCs w:val="24"/>
        </w:rPr>
        <w:t>水土保持监测工作</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接受委托任务后</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我公司及时组织水土保</w:t>
      </w:r>
      <w:r>
        <w:rPr>
          <w:rFonts w:hint="default" w:ascii="Times New Roman" w:hAnsi="Times New Roman" w:eastAsia="仿宋" w:cs="Times New Roman"/>
          <w:color w:val="auto"/>
          <w:spacing w:val="0"/>
          <w:w w:val="100"/>
          <w:sz w:val="24"/>
          <w:szCs w:val="24"/>
          <w:lang w:val="en-US" w:eastAsia="zh-CN"/>
        </w:rPr>
        <w:t>持监测技术人员进行了现场查勘，依据《水土保持监测技术规程》、《</w:t>
      </w:r>
      <w:r>
        <w:rPr>
          <w:rFonts w:hint="eastAsia" w:ascii="Times New Roman" w:hAnsi="Times New Roman" w:eastAsia="仿宋" w:cs="Times New Roman"/>
          <w:color w:val="auto"/>
          <w:spacing w:val="0"/>
          <w:w w:val="100"/>
          <w:sz w:val="24"/>
          <w:szCs w:val="24"/>
          <w:lang w:val="en-US" w:eastAsia="zh-CN"/>
        </w:rPr>
        <w:t>三江侗天宫景区项目</w:t>
      </w:r>
      <w:r>
        <w:rPr>
          <w:rFonts w:hint="default" w:ascii="Times New Roman" w:hAnsi="Times New Roman" w:eastAsia="仿宋" w:cs="Times New Roman"/>
          <w:color w:val="auto"/>
          <w:spacing w:val="0"/>
          <w:w w:val="100"/>
          <w:sz w:val="24"/>
          <w:szCs w:val="24"/>
          <w:lang w:val="en-US" w:eastAsia="zh-CN"/>
        </w:rPr>
        <w:t>水土保持方案报告书》（报批稿）以及</w:t>
      </w:r>
      <w:r>
        <w:rPr>
          <w:rFonts w:hint="eastAsia" w:ascii="Times New Roman" w:hAnsi="Times New Roman" w:eastAsia="仿宋" w:cs="Times New Roman"/>
          <w:color w:val="auto"/>
          <w:spacing w:val="0"/>
          <w:w w:val="100"/>
          <w:sz w:val="24"/>
          <w:szCs w:val="24"/>
          <w:lang w:val="en-US" w:eastAsia="zh-CN"/>
        </w:rPr>
        <w:t>三江侗族自治县水利局</w:t>
      </w:r>
      <w:r>
        <w:rPr>
          <w:rFonts w:hint="default" w:ascii="Times New Roman" w:hAnsi="Times New Roman" w:eastAsia="仿宋" w:cs="Times New Roman"/>
          <w:color w:val="auto"/>
          <w:spacing w:val="0"/>
          <w:w w:val="100"/>
          <w:sz w:val="24"/>
          <w:szCs w:val="24"/>
          <w:lang w:val="en-US" w:eastAsia="zh-CN"/>
        </w:rPr>
        <w:t>批复“</w:t>
      </w:r>
      <w:r>
        <w:rPr>
          <w:rFonts w:hint="eastAsia" w:ascii="Times New Roman" w:hAnsi="Times New Roman" w:eastAsia="仿宋" w:cs="Times New Roman"/>
          <w:color w:val="auto"/>
          <w:spacing w:val="0"/>
          <w:w w:val="100"/>
          <w:sz w:val="24"/>
          <w:szCs w:val="24"/>
          <w:lang w:val="en-US" w:eastAsia="zh-CN"/>
        </w:rPr>
        <w:t>三水水保函</w:t>
      </w:r>
      <w:r>
        <w:rPr>
          <w:rFonts w:hint="default" w:ascii="Times New Roman" w:hAnsi="Times New Roman" w:eastAsia="仿宋" w:cs="Times New Roman"/>
          <w:color w:val="auto"/>
          <w:spacing w:val="0"/>
          <w:w w:val="100"/>
          <w:sz w:val="24"/>
          <w:szCs w:val="24"/>
          <w:lang w:val="en-US" w:eastAsia="zh-CN"/>
        </w:rPr>
        <w:t>[201</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54</w:t>
      </w:r>
      <w:r>
        <w:rPr>
          <w:rFonts w:hint="default" w:ascii="Times New Roman" w:hAnsi="Times New Roman" w:eastAsia="仿宋" w:cs="Times New Roman"/>
          <w:color w:val="auto"/>
          <w:spacing w:val="0"/>
          <w:w w:val="100"/>
          <w:sz w:val="24"/>
          <w:szCs w:val="24"/>
          <w:lang w:val="en-US" w:eastAsia="zh-CN"/>
        </w:rPr>
        <w:t xml:space="preserve"> 号”的要求，成立了</w:t>
      </w:r>
      <w:r>
        <w:rPr>
          <w:rFonts w:hint="eastAsia" w:ascii="Times New Roman" w:hAnsi="Times New Roman" w:eastAsia="仿宋" w:cs="Times New Roman"/>
          <w:color w:val="auto"/>
          <w:spacing w:val="0"/>
          <w:w w:val="100"/>
          <w:sz w:val="24"/>
          <w:szCs w:val="24"/>
          <w:lang w:val="en-US" w:eastAsia="zh-CN"/>
        </w:rPr>
        <w:t>三江侗天宫景区</w:t>
      </w:r>
      <w:r>
        <w:rPr>
          <w:rFonts w:hint="eastAsia" w:ascii="Times New Roman" w:hAnsi="Times New Roman" w:eastAsia="仿宋" w:cs="Times New Roman"/>
          <w:color w:val="auto"/>
          <w:spacing w:val="0"/>
          <w:w w:val="100"/>
          <w:sz w:val="24"/>
          <w:szCs w:val="24"/>
          <w:lang w:eastAsia="zh-CN"/>
        </w:rPr>
        <w:t>项目</w:t>
      </w:r>
      <w:r>
        <w:rPr>
          <w:rFonts w:hint="default" w:ascii="Times New Roman" w:hAnsi="Times New Roman" w:eastAsia="仿宋" w:cs="Times New Roman"/>
          <w:color w:val="auto"/>
          <w:spacing w:val="0"/>
          <w:w w:val="100"/>
          <w:sz w:val="24"/>
          <w:szCs w:val="24"/>
        </w:rPr>
        <w:t>水土保持监测项目部</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监测人员进驻项目现场</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全面铺</w:t>
      </w:r>
      <w:r>
        <w:rPr>
          <w:rFonts w:hint="default" w:ascii="Times New Roman" w:hAnsi="Times New Roman" w:eastAsia="仿宋" w:cs="Times New Roman"/>
          <w:color w:val="auto"/>
          <w:spacing w:val="1"/>
          <w:w w:val="100"/>
          <w:sz w:val="24"/>
          <w:szCs w:val="24"/>
        </w:rPr>
        <w:t>开</w:t>
      </w:r>
      <w:r>
        <w:rPr>
          <w:rFonts w:hint="eastAsia" w:ascii="Times New Roman" w:hAnsi="Times New Roman" w:eastAsia="仿宋" w:cs="Times New Roman"/>
          <w:color w:val="auto"/>
          <w:spacing w:val="0"/>
          <w:w w:val="100"/>
          <w:sz w:val="24"/>
          <w:szCs w:val="24"/>
          <w:lang w:eastAsia="zh-CN"/>
        </w:rPr>
        <w:t>三江侗天宫景区项目</w:t>
      </w:r>
      <w:r>
        <w:rPr>
          <w:rFonts w:hint="default" w:ascii="Times New Roman" w:hAnsi="Times New Roman" w:eastAsia="仿宋" w:cs="Times New Roman"/>
          <w:color w:val="auto"/>
          <w:spacing w:val="0"/>
          <w:w w:val="100"/>
          <w:sz w:val="24"/>
          <w:szCs w:val="24"/>
        </w:rPr>
        <w:t>水</w:t>
      </w:r>
      <w:r>
        <w:rPr>
          <w:rFonts w:hint="default" w:ascii="Times New Roman" w:hAnsi="Times New Roman" w:eastAsia="仿宋" w:cs="Times New Roman"/>
          <w:color w:val="auto"/>
          <w:spacing w:val="1"/>
          <w:w w:val="100"/>
          <w:sz w:val="24"/>
          <w:szCs w:val="24"/>
        </w:rPr>
        <w:t>土</w:t>
      </w:r>
      <w:r>
        <w:rPr>
          <w:rFonts w:hint="default" w:ascii="Times New Roman" w:hAnsi="Times New Roman" w:eastAsia="仿宋" w:cs="Times New Roman"/>
          <w:color w:val="auto"/>
          <w:spacing w:val="0"/>
          <w:w w:val="100"/>
          <w:sz w:val="24"/>
          <w:szCs w:val="24"/>
        </w:rPr>
        <w:t>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根</w:t>
      </w:r>
      <w:r>
        <w:rPr>
          <w:rFonts w:hint="default" w:ascii="Times New Roman" w:hAnsi="Times New Roman" w:eastAsia="仿宋" w:cs="Times New Roman"/>
          <w:color w:val="auto"/>
          <w:spacing w:val="0"/>
          <w:w w:val="100"/>
          <w:sz w:val="24"/>
          <w:szCs w:val="24"/>
        </w:rPr>
        <w:t>据工程的进展情况，监测人员按照《监测合同》和《监测实施方案》的要求，于20</w:t>
      </w:r>
      <w:r>
        <w:rPr>
          <w:rFonts w:hint="eastAsia" w:ascii="Times New Roman" w:hAnsi="Times New Roman" w:eastAsia="仿宋" w:cs="Times New Roman"/>
          <w:color w:val="auto"/>
          <w:spacing w:val="0"/>
          <w:w w:val="100"/>
          <w:sz w:val="24"/>
          <w:szCs w:val="24"/>
          <w:lang w:val="en-US" w:eastAsia="zh-CN"/>
        </w:rPr>
        <w:t>19</w:t>
      </w:r>
      <w:r>
        <w:rPr>
          <w:rFonts w:hint="default" w:ascii="Times New Roman" w:hAnsi="Times New Roman" w:eastAsia="仿宋" w:cs="Times New Roman"/>
          <w:color w:val="auto"/>
          <w:spacing w:val="0"/>
          <w:w w:val="100"/>
          <w:sz w:val="24"/>
          <w:szCs w:val="24"/>
        </w:rPr>
        <w:t>年第</w:t>
      </w:r>
      <w:r>
        <w:rPr>
          <w:rFonts w:hint="eastAsia" w:ascii="Times New Roman" w:hAnsi="Times New Roman" w:eastAsia="仿宋" w:cs="Times New Roman"/>
          <w:color w:val="auto"/>
          <w:spacing w:val="0"/>
          <w:w w:val="100"/>
          <w:sz w:val="24"/>
          <w:szCs w:val="24"/>
          <w:lang w:val="en-US" w:eastAsia="zh-CN"/>
        </w:rPr>
        <w:t>四</w:t>
      </w:r>
      <w:r>
        <w:rPr>
          <w:rFonts w:hint="default" w:ascii="Times New Roman" w:hAnsi="Times New Roman" w:eastAsia="仿宋" w:cs="Times New Roman"/>
          <w:color w:val="auto"/>
          <w:spacing w:val="0"/>
          <w:w w:val="100"/>
          <w:sz w:val="24"/>
          <w:szCs w:val="24"/>
          <w:lang w:eastAsia="zh-CN"/>
        </w:rPr>
        <w:t>季度开始</w:t>
      </w:r>
      <w:r>
        <w:rPr>
          <w:rFonts w:hint="default" w:ascii="Times New Roman" w:hAnsi="Times New Roman" w:eastAsia="仿宋" w:cs="Times New Roman"/>
          <w:color w:val="auto"/>
          <w:spacing w:val="0"/>
          <w:w w:val="100"/>
          <w:sz w:val="24"/>
          <w:szCs w:val="24"/>
        </w:rPr>
        <w:t>，采取现场巡查监测法对工程进行实地踏勘，并通过查阅相关资料及</w:t>
      </w:r>
      <w:r>
        <w:rPr>
          <w:rFonts w:hint="eastAsia" w:ascii="仿宋" w:hAnsi="仿宋" w:eastAsia="仿宋" w:cs="仿宋"/>
          <w:color w:val="auto"/>
          <w:spacing w:val="0"/>
          <w:w w:val="100"/>
          <w:sz w:val="24"/>
          <w:szCs w:val="24"/>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本工程主体工程已于20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rPr>
        <w:t>月建设完成。</w:t>
      </w:r>
      <w:r>
        <w:rPr>
          <w:rFonts w:hint="eastAsia" w:ascii="仿宋" w:hAnsi="仿宋" w:eastAsia="仿宋" w:cs="仿宋"/>
          <w:color w:val="auto"/>
          <w:spacing w:val="0"/>
          <w:w w:val="100"/>
          <w:sz w:val="24"/>
          <w:szCs w:val="24"/>
        </w:rPr>
        <w:t>监测</w:t>
      </w:r>
      <w:r>
        <w:rPr>
          <w:rFonts w:hint="default" w:ascii="Times New Roman" w:hAnsi="Times New Roman" w:eastAsia="仿宋" w:cs="Times New Roman"/>
          <w:color w:val="auto"/>
          <w:spacing w:val="0"/>
          <w:w w:val="100"/>
          <w:sz w:val="24"/>
          <w:szCs w:val="24"/>
        </w:rPr>
        <w:t>过程中</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以</w:t>
      </w:r>
      <w:r>
        <w:rPr>
          <w:rFonts w:hint="eastAsia" w:ascii="Times New Roman" w:hAnsi="Times New Roman" w:eastAsia="仿宋" w:cs="Times New Roman"/>
          <w:color w:val="auto"/>
          <w:spacing w:val="0"/>
          <w:w w:val="100"/>
          <w:sz w:val="24"/>
          <w:szCs w:val="24"/>
          <w:lang w:eastAsia="zh-CN"/>
        </w:rPr>
        <w:t>巡查</w:t>
      </w:r>
      <w:r>
        <w:rPr>
          <w:rFonts w:hint="default" w:ascii="Times New Roman" w:hAnsi="Times New Roman" w:eastAsia="仿宋" w:cs="Times New Roman"/>
          <w:color w:val="auto"/>
          <w:spacing w:val="0"/>
          <w:w w:val="100"/>
          <w:sz w:val="24"/>
          <w:szCs w:val="24"/>
        </w:rPr>
        <w:t>监测为主</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采用定期</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不定期现场调查巡查法</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对工程区防治责任范围</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施工地表扰动</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土石方挖填</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防治措施数量及质量</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植被恢复及土地整治 等情况进行动态巡查监测调查</w:t>
      </w:r>
      <w:r>
        <w:rPr>
          <w:rFonts w:hint="default" w:ascii="Times New Roman" w:hAnsi="Times New Roman" w:eastAsia="仿宋" w:cs="Times New Roman"/>
          <w:color w:val="auto"/>
          <w:spacing w:val="-50"/>
          <w:w w:val="100"/>
          <w:sz w:val="24"/>
          <w:szCs w:val="24"/>
        </w:rPr>
        <w:t>，</w:t>
      </w:r>
      <w:r>
        <w:rPr>
          <w:rFonts w:hint="default" w:ascii="Times New Roman" w:hAnsi="Times New Roman" w:eastAsia="仿宋" w:cs="Times New Roman"/>
          <w:color w:val="auto"/>
          <w:spacing w:val="0"/>
          <w:w w:val="100"/>
          <w:sz w:val="24"/>
          <w:szCs w:val="24"/>
        </w:rPr>
        <w:t>以全面反</w:t>
      </w:r>
      <w:r>
        <w:rPr>
          <w:rFonts w:hint="default" w:ascii="Times New Roman" w:hAnsi="Times New Roman" w:eastAsia="仿宋" w:cs="Times New Roman"/>
          <w:color w:val="auto"/>
          <w:spacing w:val="1"/>
          <w:w w:val="100"/>
          <w:sz w:val="24"/>
          <w:szCs w:val="24"/>
        </w:rPr>
        <w:t>映</w:t>
      </w:r>
      <w:r>
        <w:rPr>
          <w:rFonts w:hint="default" w:ascii="Times New Roman" w:hAnsi="Times New Roman" w:eastAsia="仿宋" w:cs="Times New Roman"/>
          <w:color w:val="auto"/>
          <w:spacing w:val="0"/>
          <w:w w:val="100"/>
          <w:sz w:val="24"/>
          <w:szCs w:val="24"/>
        </w:rPr>
        <w:t>试运行期的水土流失状况和对周围环境的水 土流失影响等。</w:t>
      </w:r>
    </w:p>
    <w:p>
      <w:pPr>
        <w:spacing w:before="50" w:after="0" w:line="240" w:lineRule="auto"/>
        <w:ind w:left="619" w:right="-20"/>
        <w:jc w:val="left"/>
        <w:rPr>
          <w:rFonts w:hint="default" w:ascii="Times New Roman" w:hAnsi="Times New Roman" w:cs="Times New Roman"/>
          <w:color w:val="auto"/>
          <w:sz w:val="12"/>
          <w:szCs w:val="12"/>
        </w:rPr>
      </w:pPr>
      <w:r>
        <w:rPr>
          <w:rFonts w:hint="default" w:ascii="Times New Roman" w:hAnsi="Times New Roman" w:eastAsia="Times New Roman" w:cs="Times New Roman"/>
          <w:color w:val="auto"/>
          <w:spacing w:val="0"/>
          <w:w w:val="100"/>
          <w:sz w:val="24"/>
          <w:szCs w:val="24"/>
        </w:rPr>
        <w:t>b</w:t>
      </w:r>
      <w:r>
        <w:rPr>
          <w:rFonts w:hint="default" w:ascii="Times New Roman" w:hAnsi="Times New Roman" w:eastAsia="仿宋" w:cs="Times New Roman"/>
          <w:color w:val="auto"/>
          <w:spacing w:val="0"/>
          <w:w w:val="100"/>
          <w:sz w:val="24"/>
          <w:szCs w:val="24"/>
        </w:rPr>
        <w:t>）监测布局</w:t>
      </w:r>
    </w:p>
    <w:p>
      <w:pPr>
        <w:spacing w:before="0" w:after="0" w:line="330" w:lineRule="auto"/>
        <w:ind w:left="139" w:right="81" w:firstLine="480"/>
        <w:jc w:val="both"/>
        <w:rPr>
          <w:rFonts w:hint="default" w:ascii="Times New Roman" w:hAnsi="Times New Roman" w:eastAsia="仿宋" w:cs="Times New Roman"/>
          <w:color w:val="auto"/>
          <w:position w:val="-1"/>
          <w:sz w:val="24"/>
          <w:szCs w:val="24"/>
        </w:rPr>
      </w:pPr>
      <w:r>
        <w:rPr>
          <w:rFonts w:hint="default" w:ascii="Times New Roman" w:hAnsi="Times New Roman" w:eastAsia="仿宋" w:cs="Times New Roman"/>
          <w:color w:val="auto"/>
          <w:sz w:val="24"/>
          <w:szCs w:val="24"/>
        </w:rPr>
        <w:t>本项目水土流失防治分为</w:t>
      </w:r>
      <w:r>
        <w:rPr>
          <w:rFonts w:hint="default" w:ascii="Times New Roman" w:hAnsi="Times New Roman" w:eastAsia="仿宋" w:cs="Times New Roman"/>
          <w:color w:val="auto"/>
          <w:spacing w:val="-59"/>
          <w:sz w:val="24"/>
          <w:szCs w:val="24"/>
        </w:rPr>
        <w:t xml:space="preserve"> </w:t>
      </w:r>
      <w:r>
        <w:rPr>
          <w:rFonts w:hint="eastAsia" w:ascii="Times New Roman" w:hAnsi="Times New Roman" w:eastAsia="宋体" w:cs="Times New Roman"/>
          <w:color w:val="auto"/>
          <w:spacing w:val="0"/>
          <w:w w:val="100"/>
          <w:sz w:val="24"/>
          <w:szCs w:val="24"/>
          <w:lang w:val="en-US" w:eastAsia="zh-CN"/>
        </w:rPr>
        <w:t>2</w:t>
      </w:r>
      <w:r>
        <w:rPr>
          <w:rFonts w:hint="default" w:ascii="Times New Roman" w:hAnsi="Times New Roman" w:eastAsia="仿宋" w:cs="Times New Roman"/>
          <w:color w:val="auto"/>
          <w:spacing w:val="0"/>
          <w:w w:val="100"/>
          <w:sz w:val="24"/>
          <w:szCs w:val="24"/>
        </w:rPr>
        <w:t>个防治分区</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lang w:val="en-US" w:eastAsia="zh-CN"/>
        </w:rPr>
        <w:t>建构筑物区、道路绿化区。</w:t>
      </w:r>
      <w:r>
        <w:rPr>
          <w:rFonts w:hint="default" w:ascii="Times New Roman" w:hAnsi="Times New Roman" w:eastAsia="仿宋" w:cs="Times New Roman"/>
          <w:color w:val="auto"/>
          <w:spacing w:val="0"/>
          <w:w w:val="100"/>
          <w:sz w:val="24"/>
          <w:szCs w:val="24"/>
        </w:rPr>
        <w:t>水土保持监测分区和水土流失防治分区一致，共分为</w:t>
      </w:r>
      <w:r>
        <w:rPr>
          <w:rFonts w:hint="eastAsia" w:ascii="Times New Roman" w:hAnsi="Times New Roman" w:eastAsia="仿宋" w:cs="Times New Roman"/>
          <w:color w:val="auto"/>
          <w:spacing w:val="0"/>
          <w:w w:val="100"/>
          <w:sz w:val="24"/>
          <w:szCs w:val="24"/>
          <w:lang w:val="en-US" w:eastAsia="zh-CN"/>
        </w:rPr>
        <w:t>2</w:t>
      </w:r>
      <w:r>
        <w:rPr>
          <w:rFonts w:hint="default" w:ascii="Times New Roman" w:hAnsi="Times New Roman" w:eastAsia="仿宋" w:cs="Times New Roman"/>
          <w:color w:val="auto"/>
          <w:spacing w:val="0"/>
          <w:w w:val="100"/>
          <w:sz w:val="24"/>
          <w:szCs w:val="24"/>
        </w:rPr>
        <w:t>个监测分区。各监测分区的基本情况见表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Times New Roman" w:cs="Times New Roman"/>
          <w:color w:val="auto"/>
          <w:spacing w:val="0"/>
          <w:w w:val="100"/>
          <w:sz w:val="24"/>
          <w:szCs w:val="24"/>
        </w:rPr>
        <w:t>1.4</w:t>
      </w:r>
      <w:r>
        <w:rPr>
          <w:rFonts w:hint="default" w:ascii="Times New Roman" w:hAnsi="Times New Roman" w:eastAsia="Times New Roman" w:cs="Times New Roman"/>
          <w:color w:val="auto"/>
          <w:spacing w:val="-1"/>
          <w:w w:val="100"/>
          <w:sz w:val="24"/>
          <w:szCs w:val="24"/>
        </w:rPr>
        <w:t>-</w:t>
      </w:r>
      <w:r>
        <w:rPr>
          <w:rFonts w:hint="default" w:ascii="Times New Roman" w:hAnsi="Times New Roman" w:eastAsia="Times New Roman" w:cs="Times New Roman"/>
          <w:color w:val="auto"/>
          <w:spacing w:val="0"/>
          <w:w w:val="100"/>
          <w:sz w:val="24"/>
          <w:szCs w:val="24"/>
        </w:rPr>
        <w:t>1</w:t>
      </w:r>
      <w:r>
        <w:rPr>
          <w:rFonts w:hint="default" w:ascii="Times New Roman" w:hAnsi="Times New Roman" w:eastAsia="仿宋" w:cs="Times New Roman"/>
          <w:color w:val="auto"/>
          <w:spacing w:val="0"/>
          <w:w w:val="100"/>
          <w:sz w:val="24"/>
          <w:szCs w:val="24"/>
        </w:rPr>
        <w:t>。</w:t>
      </w:r>
    </w:p>
    <w:p>
      <w:pPr>
        <w:spacing w:before="0" w:after="0" w:line="330" w:lineRule="auto"/>
        <w:ind w:right="81" w:firstLine="720" w:firstLineChars="300"/>
        <w:jc w:val="both"/>
        <w:rPr>
          <w:rFonts w:hint="default" w:ascii="Times New Roman" w:hAnsi="Times New Roman" w:eastAsia="Times New Roman" w:cs="Times New Roman"/>
          <w:color w:val="auto"/>
          <w:spacing w:val="0"/>
          <w:w w:val="100"/>
          <w:position w:val="9"/>
          <w:sz w:val="16"/>
          <w:szCs w:val="16"/>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1</w:t>
      </w:r>
      <w:r>
        <w:rPr>
          <w:rFonts w:hint="default" w:ascii="Times New Roman" w:hAnsi="Times New Roman" w:eastAsia="Times New Roman" w:cs="Times New Roman"/>
          <w:color w:val="auto"/>
          <w:spacing w:val="0"/>
          <w:w w:val="100"/>
          <w:position w:val="-1"/>
          <w:sz w:val="24"/>
          <w:szCs w:val="24"/>
        </w:rPr>
        <w:tab/>
      </w:r>
      <w:r>
        <w:rPr>
          <w:rFonts w:hint="eastAsia" w:ascii="Times New Roman" w:hAnsi="Times New Roman" w:eastAsia="宋体"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本工程水土保持监测范围及分区</w:t>
      </w:r>
      <w:r>
        <w:rPr>
          <w:rFonts w:hint="default" w:ascii="Times New Roman" w:hAnsi="Times New Roman" w:eastAsia="仿宋" w:cs="Times New Roman"/>
          <w:color w:val="auto"/>
          <w:spacing w:val="0"/>
          <w:w w:val="100"/>
          <w:position w:val="-1"/>
          <w:sz w:val="24"/>
          <w:szCs w:val="24"/>
        </w:rPr>
        <w:tab/>
      </w:r>
      <w:r>
        <w:rPr>
          <w:rFonts w:hint="eastAsia" w:ascii="Times New Roman" w:hAnsi="Times New Roman" w:eastAsia="仿宋"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面积单位</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hm</w:t>
      </w:r>
      <w:r>
        <w:rPr>
          <w:rFonts w:hint="default" w:ascii="Times New Roman" w:hAnsi="Times New Roman" w:eastAsia="Times New Roman" w:cs="Times New Roman"/>
          <w:color w:val="auto"/>
          <w:spacing w:val="0"/>
          <w:w w:val="100"/>
          <w:position w:val="9"/>
          <w:sz w:val="16"/>
          <w:szCs w:val="16"/>
        </w:rPr>
        <w:t>2</w:t>
      </w:r>
    </w:p>
    <w:tbl>
      <w:tblPr>
        <w:tblStyle w:val="10"/>
        <w:tblW w:w="9073" w:type="dxa"/>
        <w:jc w:val="center"/>
        <w:tblLayout w:type="fixed"/>
        <w:tblCellMar>
          <w:top w:w="0" w:type="dxa"/>
          <w:left w:w="0" w:type="dxa"/>
          <w:bottom w:w="0" w:type="dxa"/>
          <w:right w:w="0" w:type="dxa"/>
        </w:tblCellMar>
      </w:tblPr>
      <w:tblGrid>
        <w:gridCol w:w="986"/>
        <w:gridCol w:w="2729"/>
        <w:gridCol w:w="3118"/>
        <w:gridCol w:w="2240"/>
      </w:tblGrid>
      <w:tr>
        <w:tblPrEx>
          <w:tblCellMar>
            <w:top w:w="0" w:type="dxa"/>
            <w:left w:w="0" w:type="dxa"/>
            <w:bottom w:w="0" w:type="dxa"/>
            <w:right w:w="0" w:type="dxa"/>
          </w:tblCellMar>
        </w:tblPrEx>
        <w:trPr>
          <w:trHeight w:val="408" w:hRule="exac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序号</w:t>
            </w: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rPr>
            </w:pPr>
            <w:r>
              <w:rPr>
                <w:rFonts w:hint="default" w:ascii="Times New Roman" w:hAnsi="Times New Roman" w:eastAsia="仿宋" w:cs="Times New Roman"/>
                <w:color w:val="auto"/>
                <w:spacing w:val="0"/>
                <w:w w:val="100"/>
                <w:position w:val="-2"/>
                <w:sz w:val="21"/>
                <w:szCs w:val="21"/>
              </w:rPr>
              <w:t>监 测 分 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监测</w:t>
            </w:r>
            <w:r>
              <w:rPr>
                <w:rFonts w:hint="default" w:ascii="Times New Roman" w:hAnsi="Times New Roman" w:eastAsia="仿宋" w:cs="Times New Roman"/>
                <w:color w:val="auto"/>
                <w:spacing w:val="-2"/>
                <w:w w:val="100"/>
                <w:position w:val="-2"/>
                <w:sz w:val="21"/>
                <w:szCs w:val="21"/>
              </w:rPr>
              <w:t>面</w:t>
            </w:r>
            <w:r>
              <w:rPr>
                <w:rFonts w:hint="default" w:ascii="Times New Roman" w:hAnsi="Times New Roman" w:eastAsia="仿宋" w:cs="Times New Roman"/>
                <w:color w:val="auto"/>
                <w:spacing w:val="0"/>
                <w:w w:val="100"/>
                <w:position w:val="-2"/>
                <w:sz w:val="21"/>
                <w:szCs w:val="21"/>
              </w:rPr>
              <w:t>积</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占地</w:t>
            </w:r>
            <w:r>
              <w:rPr>
                <w:rFonts w:hint="default" w:ascii="Times New Roman" w:hAnsi="Times New Roman" w:eastAsia="仿宋" w:cs="Times New Roman"/>
                <w:color w:val="auto"/>
                <w:spacing w:val="-2"/>
                <w:w w:val="100"/>
                <w:position w:val="-2"/>
                <w:sz w:val="21"/>
                <w:szCs w:val="21"/>
              </w:rPr>
              <w:t>类</w:t>
            </w:r>
            <w:r>
              <w:rPr>
                <w:rFonts w:hint="default" w:ascii="Times New Roman" w:hAnsi="Times New Roman" w:eastAsia="仿宋" w:cs="Times New Roman"/>
                <w:color w:val="auto"/>
                <w:spacing w:val="0"/>
                <w:w w:val="100"/>
                <w:position w:val="-2"/>
                <w:sz w:val="21"/>
                <w:szCs w:val="21"/>
              </w:rPr>
              <w:t>型</w:t>
            </w:r>
          </w:p>
        </w:tc>
      </w:tr>
      <w:tr>
        <w:tblPrEx>
          <w:tblCellMar>
            <w:top w:w="0" w:type="dxa"/>
            <w:left w:w="0" w:type="dxa"/>
            <w:bottom w:w="0" w:type="dxa"/>
            <w:right w:w="0" w:type="dxa"/>
          </w:tblCellMar>
        </w:tblPrEx>
        <w:trPr>
          <w:trHeight w:val="406" w:hRule="exact"/>
          <w:jc w:val="center"/>
        </w:trPr>
        <w:tc>
          <w:tcPr>
            <w:tcW w:w="986"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18" w:after="0" w:line="240" w:lineRule="atLeast"/>
              <w:ind w:right="0"/>
              <w:jc w:val="both"/>
              <w:outlineLvl w:val="9"/>
              <w:rPr>
                <w:rFonts w:hint="default" w:ascii="Times New Roman" w:hAnsi="Times New Roman" w:cs="Times New Roman"/>
                <w:color w:val="auto"/>
                <w:sz w:val="24"/>
                <w:szCs w:val="24"/>
              </w:rPr>
            </w:pPr>
          </w:p>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项目建设区</w:t>
            </w: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建构筑物区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0.65</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永久占地</w:t>
            </w:r>
          </w:p>
        </w:tc>
      </w:tr>
      <w:tr>
        <w:tblPrEx>
          <w:tblCellMar>
            <w:top w:w="0" w:type="dxa"/>
            <w:left w:w="0" w:type="dxa"/>
            <w:bottom w:w="0" w:type="dxa"/>
            <w:right w:w="0" w:type="dxa"/>
          </w:tblCellMar>
        </w:tblPrEx>
        <w:trPr>
          <w:trHeight w:val="380" w:hRule="exact"/>
          <w:jc w:val="center"/>
        </w:trPr>
        <w:tc>
          <w:tcPr>
            <w:tcW w:w="98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道路绿化区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0.91</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永久占地</w:t>
            </w:r>
          </w:p>
        </w:tc>
      </w:tr>
      <w:tr>
        <w:tblPrEx>
          <w:tblCellMar>
            <w:top w:w="0" w:type="dxa"/>
            <w:left w:w="0" w:type="dxa"/>
            <w:bottom w:w="0" w:type="dxa"/>
            <w:right w:w="0" w:type="dxa"/>
          </w:tblCellMar>
        </w:tblPrEx>
        <w:trPr>
          <w:trHeight w:val="409" w:hRule="exact"/>
          <w:jc w:val="center"/>
        </w:trPr>
        <w:tc>
          <w:tcPr>
            <w:tcW w:w="986"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360"/>
              </w:tabs>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合</w:t>
            </w:r>
            <w:r>
              <w:rPr>
                <w:rFonts w:hint="eastAsia" w:ascii="Times New Roman" w:hAnsi="Times New Roman" w:eastAsia="仿宋" w:cs="Times New Roman"/>
                <w:color w:val="auto"/>
                <w:spacing w:val="0"/>
                <w:w w:val="100"/>
                <w:position w:val="-2"/>
                <w:sz w:val="21"/>
                <w:szCs w:val="21"/>
                <w:lang w:val="en-US" w:eastAsia="zh-CN"/>
              </w:rPr>
              <w:t xml:space="preserve">   </w:t>
            </w:r>
            <w:r>
              <w:rPr>
                <w:rFonts w:hint="default" w:ascii="Times New Roman" w:hAnsi="Times New Roman" w:eastAsia="仿宋" w:cs="Times New Roman"/>
                <w:color w:val="auto"/>
                <w:spacing w:val="0"/>
                <w:w w:val="100"/>
                <w:position w:val="-2"/>
                <w:sz w:val="21"/>
                <w:szCs w:val="21"/>
              </w:rPr>
              <w:t>计</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1.56</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r>
    </w:tbl>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 xml:space="preserve">c）监测内容 </w:t>
      </w:r>
    </w:p>
    <w:p>
      <w:pPr>
        <w:spacing w:before="0" w:after="0" w:line="322" w:lineRule="auto"/>
        <w:ind w:left="139" w:right="84" w:firstLine="484" w:firstLineChars="200"/>
        <w:jc w:val="both"/>
        <w:rPr>
          <w:rFonts w:hint="eastAsia"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rPr>
        <w:t>每个区域的监测内容，一般都包括数个具体的监测指标，对于每个指标，设计相应的监测方法、频次（或监测时段），并通过必要的监测设施与设备进行测试。</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auto"/>
          <w:spacing w:val="1"/>
          <w:w w:val="100"/>
          <w:sz w:val="24"/>
          <w:szCs w:val="24"/>
          <w:lang w:eastAsia="zh-CN"/>
        </w:rPr>
        <w:t>三江侗天宫景区项目</w:t>
      </w:r>
      <w:r>
        <w:rPr>
          <w:rFonts w:hint="default" w:ascii="Times New Roman" w:hAnsi="Times New Roman" w:eastAsia="仿宋" w:cs="Times New Roman"/>
          <w:color w:val="auto"/>
          <w:spacing w:val="1"/>
          <w:w w:val="100"/>
          <w:sz w:val="24"/>
          <w:szCs w:val="24"/>
        </w:rPr>
        <w:t>水土保持监测的内容包括防治责任范围动态监测、水土流失防治动态监测和试运行期土壤流失量动态监测三个部分。</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①防治责任范围动态监测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 变化情况，确定工程实际的水土流失防治责任范围，并与水土保持方案的水土流失防治 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②水土流失防治动态监测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③试运行期土壤流失量动态监测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1"/>
          <w:w w:val="100"/>
          <w:sz w:val="24"/>
          <w:szCs w:val="24"/>
          <w:lang w:val="en-US" w:eastAsia="zh-CN"/>
        </w:rPr>
        <w:t>针对不同扰动地表类型的特点，选取典型扰动土地类型，采用现场调查监测，经综合</w:t>
      </w:r>
      <w:r>
        <w:rPr>
          <w:rFonts w:hint="default" w:ascii="Times New Roman" w:hAnsi="Times New Roman" w:eastAsia="仿宋" w:cs="Times New Roman"/>
          <w:color w:val="auto"/>
          <w:spacing w:val="0"/>
          <w:w w:val="100"/>
          <w:sz w:val="24"/>
          <w:szCs w:val="24"/>
        </w:rPr>
        <w:t>分析推算不同扰动类型的侵蚀强度及土壤侵蚀量</w:t>
      </w:r>
      <w:r>
        <w:rPr>
          <w:rFonts w:hint="default" w:ascii="Times New Roman" w:hAnsi="Times New Roman" w:eastAsia="仿宋" w:cs="Times New Roman"/>
          <w:color w:val="auto"/>
          <w:spacing w:val="0"/>
          <w:w w:val="100"/>
          <w:sz w:val="24"/>
          <w:szCs w:val="24"/>
          <w:lang w:eastAsia="zh-CN"/>
        </w:rPr>
        <w:t>。</w:t>
      </w:r>
    </w:p>
    <w:p>
      <w:pPr>
        <w:spacing w:before="0" w:after="0" w:line="322" w:lineRule="auto"/>
        <w:ind w:left="139" w:right="84"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d）监测</w:t>
      </w:r>
    </w:p>
    <w:p>
      <w:pPr>
        <w:spacing w:before="0" w:after="0" w:line="322" w:lineRule="auto"/>
        <w:ind w:right="84"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本项目水土保持监测主要采用以下监测方法</w:t>
      </w:r>
      <w:r>
        <w:rPr>
          <w:rFonts w:hint="default" w:ascii="Times New Roman" w:hAnsi="Times New Roman" w:eastAsia="仿宋" w:cs="Times New Roman"/>
          <w:color w:val="auto"/>
          <w:spacing w:val="0"/>
          <w:w w:val="100"/>
          <w:sz w:val="24"/>
          <w:szCs w:val="24"/>
          <w:lang w:eastAsia="zh-CN"/>
        </w:rPr>
        <w:t>。</w:t>
      </w:r>
    </w:p>
    <w:p>
      <w:pPr>
        <w:numPr>
          <w:ilvl w:val="0"/>
          <w:numId w:val="1"/>
        </w:numPr>
        <w:spacing w:before="0" w:after="0" w:line="322" w:lineRule="auto"/>
        <w:ind w:right="84" w:rightChars="0" w:firstLine="480" w:firstLineChars="200"/>
        <w:jc w:val="both"/>
        <w:rPr>
          <w:rFonts w:hint="eastAsia"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定位监测 </w:t>
      </w:r>
      <w:r>
        <w:rPr>
          <w:rFonts w:hint="eastAsia" w:ascii="Times New Roman" w:hAnsi="Times New Roman" w:eastAsia="仿宋" w:cs="Times New Roman"/>
          <w:color w:val="auto"/>
          <w:spacing w:val="0"/>
          <w:w w:val="100"/>
          <w:sz w:val="24"/>
          <w:szCs w:val="24"/>
          <w:lang w:val="en-US" w:eastAsia="zh-CN"/>
        </w:rPr>
        <w:t xml:space="preserve"> </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定位监测主要适用于项目水土流失防治责任区范围内，地貌、植被受扰动最严重的区域如：</w:t>
      </w:r>
      <w:r>
        <w:rPr>
          <w:rFonts w:hint="eastAsia" w:ascii="Times New Roman" w:hAnsi="Times New Roman" w:eastAsia="仿宋" w:cs="Times New Roman"/>
          <w:color w:val="auto"/>
          <w:spacing w:val="0"/>
          <w:w w:val="100"/>
          <w:sz w:val="24"/>
          <w:szCs w:val="24"/>
          <w:lang w:val="en-US" w:eastAsia="zh-CN"/>
        </w:rPr>
        <w:t>主体工程区</w:t>
      </w:r>
      <w:r>
        <w:rPr>
          <w:rFonts w:hint="default" w:ascii="Times New Roman" w:hAnsi="Times New Roman" w:eastAsia="仿宋" w:cs="Times New Roman"/>
          <w:color w:val="auto"/>
          <w:spacing w:val="0"/>
          <w:w w:val="100"/>
          <w:sz w:val="24"/>
          <w:szCs w:val="24"/>
          <w:lang w:val="en-US" w:eastAsia="zh-CN"/>
        </w:rPr>
        <w:t>和</w:t>
      </w:r>
      <w:r>
        <w:rPr>
          <w:rFonts w:hint="eastAsia" w:ascii="Times New Roman" w:hAnsi="Times New Roman" w:eastAsia="仿宋" w:cs="Times New Roman"/>
          <w:color w:val="auto"/>
          <w:spacing w:val="0"/>
          <w:w w:val="100"/>
          <w:sz w:val="24"/>
          <w:szCs w:val="24"/>
          <w:lang w:val="en-US" w:eastAsia="zh-CN"/>
        </w:rPr>
        <w:t>施工便道区</w:t>
      </w:r>
      <w:r>
        <w:rPr>
          <w:rFonts w:hint="default" w:ascii="Times New Roman" w:hAnsi="Times New Roman" w:eastAsia="仿宋" w:cs="Times New Roman"/>
          <w:color w:val="auto"/>
          <w:spacing w:val="0"/>
          <w:w w:val="100"/>
          <w:sz w:val="24"/>
          <w:szCs w:val="24"/>
          <w:lang w:val="en-US" w:eastAsia="zh-CN"/>
        </w:rPr>
        <w:t>边坡等。主要通过在地面设置相应的观测设施，定位监测水土流失影响因子和水土流失量，如采用侵蚀沟样法测定样方内侵蚀沟的数量 和大小，从而计算侵蚀量；采用插钎法，通过观测钢钎出露地面高度，计算土壤侵蚀深度和土壤侵蚀量。通过定期的和不定期的观测来获得有关数据，计算土壤侵蚀厚度和总的土壤侵蚀量。</w:t>
      </w:r>
    </w:p>
    <w:p>
      <w:pPr>
        <w:numPr>
          <w:ilvl w:val="0"/>
          <w:numId w:val="1"/>
        </w:numPr>
        <w:spacing w:before="0" w:after="0" w:line="322" w:lineRule="auto"/>
        <w:ind w:left="0" w:leftChars="0" w:right="84" w:rightChars="0" w:firstLine="480" w:firstLineChars="200"/>
        <w:jc w:val="both"/>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调查监测</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分普查法与抽样法两种</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普查法主要是对工作量较少的监测项目指</w:t>
      </w:r>
      <w:r>
        <w:rPr>
          <w:rFonts w:hint="default" w:ascii="Times New Roman" w:hAnsi="Times New Roman" w:eastAsia="仿宋" w:cs="Times New Roman"/>
          <w:color w:val="auto"/>
          <w:spacing w:val="-24"/>
          <w:w w:val="100"/>
          <w:sz w:val="24"/>
          <w:szCs w:val="24"/>
        </w:rPr>
        <w:t>标</w:t>
      </w:r>
      <w:r>
        <w:rPr>
          <w:rFonts w:hint="default" w:ascii="Times New Roman" w:hAnsi="Times New Roman" w:eastAsia="仿宋" w:cs="Times New Roman"/>
          <w:color w:val="auto"/>
          <w:spacing w:val="0"/>
          <w:w w:val="100"/>
          <w:sz w:val="24"/>
          <w:szCs w:val="24"/>
        </w:rPr>
        <w:t>（如地表植被及其它水土保持设施破坏面积变化等</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的调查</w:t>
      </w:r>
      <w:r>
        <w:rPr>
          <w:rFonts w:hint="default" w:ascii="Times New Roman" w:hAnsi="Times New Roman" w:eastAsia="仿宋" w:cs="Times New Roman"/>
          <w:color w:val="auto"/>
          <w:spacing w:val="0"/>
          <w:w w:val="100"/>
          <w:sz w:val="24"/>
          <w:szCs w:val="24"/>
          <w:lang w:eastAsia="zh-CN"/>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1"/>
        </w:numPr>
        <w:spacing w:before="0" w:after="0" w:line="322" w:lineRule="auto"/>
        <w:ind w:left="0" w:leftChars="0" w:right="84" w:rightChars="0" w:firstLine="480" w:firstLineChars="200"/>
        <w:jc w:val="both"/>
        <w:rPr>
          <w:rFonts w:hint="eastAsia"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eastAsia="zh-CN"/>
        </w:rPr>
        <w:t xml:space="preserve">巡查 </w:t>
      </w:r>
      <w:r>
        <w:rPr>
          <w:rFonts w:hint="eastAsia" w:ascii="Times New Roman" w:hAnsi="Times New Roman" w:eastAsia="仿宋" w:cs="Times New Roman"/>
          <w:color w:val="auto"/>
          <w:spacing w:val="0"/>
          <w:w w:val="100"/>
          <w:sz w:val="24"/>
          <w:szCs w:val="24"/>
          <w:lang w:val="en-US" w:eastAsia="zh-CN"/>
        </w:rPr>
        <w:t xml:space="preserve"> </w:t>
      </w:r>
    </w:p>
    <w:p>
      <w:pPr>
        <w:numPr>
          <w:ilvl w:val="0"/>
          <w:numId w:val="0"/>
        </w:numPr>
        <w:spacing w:before="0" w:after="0" w:line="322" w:lineRule="auto"/>
        <w:ind w:leftChars="200" w:right="84" w:rightChars="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由于施工场地的时空变化复杂，定位监测有时是十分困难的，对这种情况必须采取</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巡查的办法，及时发现水土流失并采取最有效的措施加以控制。通过以上监测，依据《开发建设项目水土流失防治标准》以及批复的水土保持方案</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报告书，综合分析本工程水土流失防治措施实施后的防治指标，测算出水土保持措施实 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1"/>
          <w:w w:val="100"/>
          <w:position w:val="-1"/>
          <w:sz w:val="24"/>
          <w:szCs w:val="24"/>
        </w:rPr>
        <w:t>.</w:t>
      </w:r>
      <w:r>
        <w:rPr>
          <w:rFonts w:hint="default" w:ascii="Times New Roman" w:hAnsi="Times New Roman" w:eastAsia="Times New Roman" w:cs="Times New Roman"/>
          <w:b/>
          <w:bCs/>
          <w:color w:val="auto"/>
          <w:spacing w:val="1"/>
          <w:w w:val="100"/>
          <w:position w:val="-1"/>
          <w:sz w:val="24"/>
          <w:szCs w:val="24"/>
        </w:rPr>
        <w:t>4</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监</w:t>
      </w:r>
      <w:r>
        <w:rPr>
          <w:rFonts w:hint="default" w:ascii="Times New Roman" w:hAnsi="Times New Roman" w:eastAsia="仿宋" w:cs="Times New Roman"/>
          <w:b/>
          <w:bCs/>
          <w:color w:val="auto"/>
          <w:spacing w:val="0"/>
          <w:w w:val="100"/>
          <w:position w:val="-1"/>
          <w:sz w:val="24"/>
          <w:szCs w:val="24"/>
        </w:rPr>
        <w:t>测项</w:t>
      </w:r>
      <w:r>
        <w:rPr>
          <w:rFonts w:hint="default" w:ascii="Times New Roman" w:hAnsi="Times New Roman" w:eastAsia="仿宋" w:cs="Times New Roman"/>
          <w:b/>
          <w:bCs/>
          <w:color w:val="auto"/>
          <w:spacing w:val="2"/>
          <w:w w:val="100"/>
          <w:position w:val="-1"/>
          <w:sz w:val="24"/>
          <w:szCs w:val="24"/>
        </w:rPr>
        <w:t>目</w:t>
      </w:r>
      <w:r>
        <w:rPr>
          <w:rFonts w:hint="default" w:ascii="Times New Roman" w:hAnsi="Times New Roman" w:eastAsia="仿宋" w:cs="Times New Roman"/>
          <w:b/>
          <w:bCs/>
          <w:color w:val="auto"/>
          <w:spacing w:val="0"/>
          <w:w w:val="100"/>
          <w:position w:val="-1"/>
          <w:sz w:val="24"/>
          <w:szCs w:val="24"/>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接受监测委托后，我公司成立了</w:t>
      </w:r>
      <w:r>
        <w:rPr>
          <w:rFonts w:hint="eastAsia" w:ascii="Times New Roman" w:hAnsi="Times New Roman" w:eastAsia="仿宋" w:cs="Times New Roman"/>
          <w:color w:val="auto"/>
          <w:spacing w:val="0"/>
          <w:w w:val="100"/>
          <w:sz w:val="24"/>
          <w:szCs w:val="24"/>
          <w:lang w:eastAsia="zh-CN"/>
        </w:rPr>
        <w:t>三江侗天宫景区项目</w:t>
      </w:r>
      <w:r>
        <w:rPr>
          <w:rFonts w:hint="default" w:ascii="Times New Roman" w:hAnsi="Times New Roman" w:eastAsia="仿宋" w:cs="Times New Roman"/>
          <w:color w:val="auto"/>
          <w:spacing w:val="0"/>
          <w:w w:val="100"/>
          <w:sz w:val="24"/>
          <w:szCs w:val="24"/>
          <w:lang w:eastAsia="zh-CN"/>
        </w:rPr>
        <w:t>水土保持监测项目部，并派专业监测技术人员首次进场调查。监测人员名单见表 1.4-2。</w:t>
      </w:r>
    </w:p>
    <w:p>
      <w:pPr>
        <w:tabs>
          <w:tab w:val="left" w:pos="3040"/>
        </w:tabs>
        <w:spacing w:before="0" w:after="0" w:line="313" w:lineRule="exact"/>
        <w:ind w:left="699" w:right="-20"/>
        <w:jc w:val="left"/>
        <w:rPr>
          <w:rFonts w:hint="default" w:ascii="Times New Roman" w:hAnsi="Times New Roman" w:eastAsia="仿宋" w:cs="Times New Roman"/>
          <w:color w:val="auto"/>
          <w:spacing w:val="0"/>
          <w:w w:val="100"/>
          <w:position w:val="-1"/>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2</w:t>
      </w:r>
      <w:r>
        <w:rPr>
          <w:rFonts w:hint="default" w:ascii="Times New Roman" w:hAnsi="Times New Roman" w:eastAsia="Times New Roman"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本工程水土保持监测人员名单</w:t>
      </w:r>
    </w:p>
    <w:tbl>
      <w:tblPr>
        <w:tblStyle w:val="10"/>
        <w:tblW w:w="9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095"/>
        <w:gridCol w:w="2114"/>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职  责</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姓  名</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职  称</w:t>
            </w:r>
          </w:p>
        </w:tc>
        <w:tc>
          <w:tcPr>
            <w:tcW w:w="2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9"/>
              <w:rPr>
                <w:rFonts w:hint="eastAsia" w:eastAsiaTheme="minorEastAsia"/>
                <w:color w:val="auto"/>
                <w:sz w:val="28"/>
                <w:szCs w:val="28"/>
                <w:lang w:eastAsia="zh-CN"/>
              </w:rPr>
            </w:pPr>
            <w:r>
              <w:rPr>
                <w:rFonts w:hint="eastAsia" w:ascii="Times New Roman" w:hAnsi="Times New Roman" w:eastAsia="仿宋" w:cs="Times New Roman"/>
                <w:color w:val="auto"/>
                <w:spacing w:val="0"/>
                <w:w w:val="100"/>
                <w:sz w:val="21"/>
                <w:szCs w:val="21"/>
                <w:lang w:eastAsia="zh-CN"/>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总负责人</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陈群良</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高级工程师</w:t>
            </w:r>
          </w:p>
        </w:tc>
        <w:tc>
          <w:tcPr>
            <w:tcW w:w="2931" w:type="dxa"/>
            <w:vAlign w:val="top"/>
          </w:tcPr>
          <w:p>
            <w:pPr>
              <w:spacing w:before="33"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植</w:t>
            </w:r>
            <w:r>
              <w:rPr>
                <w:rFonts w:hint="default" w:ascii="Times New Roman" w:hAnsi="Times New Roman" w:eastAsia="仿宋" w:cs="Times New Roman"/>
                <w:color w:val="auto"/>
                <w:spacing w:val="0"/>
                <w:w w:val="100"/>
                <w:sz w:val="21"/>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项目负责人</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黄森海</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高级工程师</w:t>
            </w:r>
          </w:p>
        </w:tc>
        <w:tc>
          <w:tcPr>
            <w:tcW w:w="2931" w:type="dxa"/>
            <w:vAlign w:val="top"/>
          </w:tcPr>
          <w:p>
            <w:pPr>
              <w:spacing w:before="33"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技术总负责</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陈金根</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38"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植</w:t>
            </w:r>
            <w:r>
              <w:rPr>
                <w:rFonts w:hint="default" w:ascii="Times New Roman" w:hAnsi="Times New Roman" w:eastAsia="仿宋" w:cs="Times New Roman"/>
                <w:color w:val="auto"/>
                <w:spacing w:val="0"/>
                <w:w w:val="100"/>
                <w:sz w:val="21"/>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具体实施计划</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李建明</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40"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restart"/>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现场监测人员</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王树平</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40"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2130"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eastAsia" w:ascii="Times New Roman" w:hAnsi="Times New Roman" w:eastAsia="仿宋" w:cs="Times New Roman"/>
                <w:color w:val="auto"/>
                <w:spacing w:val="0"/>
                <w:w w:val="100"/>
                <w:sz w:val="21"/>
                <w:szCs w:val="21"/>
                <w:lang w:val="en-US" w:eastAsia="zh-CN"/>
              </w:rPr>
              <w:t>潘月华</w:t>
            </w:r>
          </w:p>
        </w:tc>
        <w:tc>
          <w:tcPr>
            <w:tcW w:w="2114"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val="en-US" w:eastAsia="zh-CN"/>
              </w:rPr>
              <w:t>工程师</w:t>
            </w:r>
          </w:p>
        </w:tc>
        <w:tc>
          <w:tcPr>
            <w:tcW w:w="2931"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水保植物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p>
        </w:tc>
        <w:tc>
          <w:tcPr>
            <w:tcW w:w="2095"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农承诚</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助工</w:t>
            </w:r>
          </w:p>
        </w:tc>
        <w:tc>
          <w:tcPr>
            <w:tcW w:w="2931"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水保工程</w:t>
            </w:r>
          </w:p>
        </w:tc>
      </w:tr>
    </w:tbl>
    <w:p>
      <w:pPr>
        <w:tabs>
          <w:tab w:val="left" w:pos="3040"/>
        </w:tabs>
        <w:spacing w:before="0" w:after="0" w:line="313" w:lineRule="exact"/>
        <w:ind w:left="699" w:right="-20"/>
        <w:jc w:val="left"/>
        <w:rPr>
          <w:rFonts w:hint="default" w:ascii="Times New Roman" w:hAnsi="Times New Roman" w:eastAsia="仿宋" w:cs="Times New Roman"/>
          <w:color w:val="auto"/>
          <w:spacing w:val="0"/>
          <w:w w:val="100"/>
          <w:position w:val="-1"/>
          <w:sz w:val="24"/>
          <w:szCs w:val="24"/>
        </w:rPr>
      </w:pP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水土保持监测项目部监测技术人员于</w:t>
      </w:r>
      <w:r>
        <w:rPr>
          <w:rFonts w:hint="eastAsia" w:ascii="Times New Roman" w:hAnsi="Times New Roman" w:eastAsia="仿宋" w:cs="Times New Roman"/>
          <w:color w:val="auto"/>
          <w:spacing w:val="0"/>
          <w:w w:val="100"/>
          <w:sz w:val="24"/>
          <w:szCs w:val="24"/>
          <w:lang w:val="en-US" w:eastAsia="zh-CN"/>
        </w:rPr>
        <w:t>2019</w:t>
      </w:r>
      <w:r>
        <w:rPr>
          <w:rFonts w:hint="default" w:ascii="Times New Roman" w:hAnsi="Times New Roman" w:eastAsia="仿宋" w:cs="Times New Roman"/>
          <w:color w:val="auto"/>
          <w:spacing w:val="0"/>
          <w:w w:val="100"/>
          <w:sz w:val="24"/>
          <w:szCs w:val="24"/>
          <w:lang w:eastAsia="zh-CN"/>
        </w:rPr>
        <w:t>年第</w:t>
      </w:r>
      <w:r>
        <w:rPr>
          <w:rFonts w:hint="eastAsia" w:ascii="Times New Roman" w:hAnsi="Times New Roman" w:eastAsia="仿宋" w:cs="Times New Roman"/>
          <w:color w:val="auto"/>
          <w:spacing w:val="0"/>
          <w:w w:val="100"/>
          <w:sz w:val="24"/>
          <w:szCs w:val="24"/>
          <w:lang w:val="en-US" w:eastAsia="zh-CN"/>
        </w:rPr>
        <w:t>四</w:t>
      </w:r>
      <w:r>
        <w:rPr>
          <w:rFonts w:hint="default" w:ascii="Times New Roman" w:hAnsi="Times New Roman" w:eastAsia="仿宋" w:cs="Times New Roman"/>
          <w:color w:val="auto"/>
          <w:spacing w:val="0"/>
          <w:w w:val="100"/>
          <w:sz w:val="24"/>
          <w:szCs w:val="24"/>
          <w:lang w:eastAsia="zh-CN"/>
        </w:rPr>
        <w:t>季度开始，采取定点监测和现场巡查监测，对工程区防治责任范围、施工地表扰动、土石方挖填、防治措施数量及质量、植被恢复及土地整治等情况进行动态监测。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1"/>
          <w:w w:val="100"/>
          <w:position w:val="-1"/>
          <w:sz w:val="24"/>
          <w:szCs w:val="24"/>
        </w:rPr>
        <w:t>.</w:t>
      </w:r>
      <w:r>
        <w:rPr>
          <w:rFonts w:hint="default" w:ascii="Times New Roman" w:hAnsi="Times New Roman" w:eastAsia="Times New Roman" w:cs="Times New Roman"/>
          <w:b/>
          <w:bCs/>
          <w:color w:val="auto"/>
          <w:spacing w:val="1"/>
          <w:w w:val="100"/>
          <w:position w:val="-1"/>
          <w:sz w:val="24"/>
          <w:szCs w:val="24"/>
        </w:rPr>
        <w:t>4</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3</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监</w:t>
      </w:r>
      <w:r>
        <w:rPr>
          <w:rFonts w:hint="default" w:ascii="Times New Roman" w:hAnsi="Times New Roman" w:eastAsia="仿宋" w:cs="Times New Roman"/>
          <w:b/>
          <w:bCs/>
          <w:color w:val="auto"/>
          <w:spacing w:val="0"/>
          <w:w w:val="100"/>
          <w:position w:val="-1"/>
          <w:sz w:val="24"/>
          <w:szCs w:val="24"/>
        </w:rPr>
        <w:t>测点</w:t>
      </w:r>
      <w:r>
        <w:rPr>
          <w:rFonts w:hint="default" w:ascii="Times New Roman" w:hAnsi="Times New Roman" w:eastAsia="仿宋" w:cs="Times New Roman"/>
          <w:b/>
          <w:bCs/>
          <w:color w:val="auto"/>
          <w:spacing w:val="2"/>
          <w:w w:val="100"/>
          <w:position w:val="-1"/>
          <w:sz w:val="24"/>
          <w:szCs w:val="24"/>
        </w:rPr>
        <w:t>布</w:t>
      </w:r>
      <w:r>
        <w:rPr>
          <w:rFonts w:hint="default" w:ascii="Times New Roman" w:hAnsi="Times New Roman" w:eastAsia="仿宋" w:cs="Times New Roman"/>
          <w:b/>
          <w:bCs/>
          <w:color w:val="auto"/>
          <w:spacing w:val="0"/>
          <w:w w:val="100"/>
          <w:position w:val="-1"/>
          <w:sz w:val="24"/>
          <w:szCs w:val="24"/>
        </w:rPr>
        <w:t>设</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b/>
          <w:bCs/>
          <w:color w:val="auto"/>
          <w:spacing w:val="0"/>
          <w:w w:val="100"/>
          <w:position w:val="-1"/>
          <w:sz w:val="24"/>
          <w:szCs w:val="24"/>
          <w:lang w:val="en-US" w:eastAsia="zh-CN"/>
        </w:rPr>
      </w:pPr>
      <w:r>
        <w:rPr>
          <w:rFonts w:hint="default" w:ascii="Times New Roman" w:hAnsi="Times New Roman" w:eastAsia="仿宋" w:cs="Times New Roman"/>
          <w:color w:val="auto"/>
          <w:spacing w:val="0"/>
          <w:w w:val="100"/>
          <w:sz w:val="24"/>
          <w:szCs w:val="24"/>
          <w:lang w:eastAsia="zh-CN"/>
        </w:rPr>
        <w:t>监测进场时，鉴于本项目已经建成完成，已不可能通过布设监测设施获取不同施工阶段不同区域的侵蚀模数，本项目监测数据获得方式为后补，监测组结合工程实际情况，根据施工进度等情况进行估算，从而推测出侵蚀模数（鉴于该数字为推求得出，因此仅能用于验收参考。）监测组决定不设置固定监测点对本项目监测，本项目采取巡查、调查监测为主的方式进行。</w:t>
      </w:r>
    </w:p>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1"/>
          <w:sz w:val="24"/>
          <w:szCs w:val="24"/>
          <w:lang w:val="en-US" w:eastAsia="zh-CN"/>
        </w:rPr>
      </w:pPr>
      <w:r>
        <w:rPr>
          <w:rFonts w:hint="default" w:ascii="Times New Roman" w:hAnsi="Times New Roman" w:eastAsia="仿宋" w:cs="Times New Roman"/>
          <w:b/>
          <w:bCs/>
          <w:color w:val="auto"/>
          <w:spacing w:val="0"/>
          <w:w w:val="100"/>
          <w:position w:val="-1"/>
          <w:sz w:val="24"/>
          <w:szCs w:val="24"/>
          <w:lang w:val="en-US" w:eastAsia="zh-CN"/>
        </w:rPr>
        <w:t xml:space="preserve">1.4.4 </w:t>
      </w:r>
      <w:r>
        <w:rPr>
          <w:rFonts w:hint="eastAsia" w:ascii="Times New Roman" w:hAnsi="Times New Roman" w:eastAsia="仿宋" w:cs="Times New Roman"/>
          <w:b/>
          <w:bCs/>
          <w:color w:val="auto"/>
          <w:spacing w:val="0"/>
          <w:w w:val="100"/>
          <w:position w:val="-1"/>
          <w:sz w:val="24"/>
          <w:szCs w:val="24"/>
          <w:lang w:val="en-US" w:eastAsia="zh-CN"/>
        </w:rPr>
        <w:t xml:space="preserve"> </w:t>
      </w:r>
      <w:r>
        <w:rPr>
          <w:rFonts w:hint="default" w:ascii="Times New Roman" w:hAnsi="Times New Roman" w:eastAsia="仿宋" w:cs="Times New Roman"/>
          <w:b/>
          <w:bCs/>
          <w:color w:val="auto"/>
          <w:spacing w:val="0"/>
          <w:w w:val="100"/>
          <w:position w:val="-1"/>
          <w:sz w:val="24"/>
          <w:szCs w:val="24"/>
          <w:lang w:val="en-US" w:eastAsia="zh-CN"/>
        </w:rPr>
        <w:t>监测设施设备</w:t>
      </w:r>
    </w:p>
    <w:p>
      <w:pPr>
        <w:numPr>
          <w:ilvl w:val="0"/>
          <w:numId w:val="0"/>
        </w:numPr>
        <w:spacing w:before="0" w:after="0" w:line="322" w:lineRule="auto"/>
        <w:ind w:right="84" w:rightChars="0" w:firstLine="560" w:firstLineChars="200"/>
        <w:jc w:val="both"/>
        <w:rPr>
          <w:rFonts w:hint="default" w:ascii="Times New Roman" w:hAnsi="Times New Roman" w:eastAsia="仿宋" w:cs="Times New Roman"/>
          <w:color w:val="auto"/>
          <w:spacing w:val="0"/>
          <w:w w:val="100"/>
          <w:position w:val="-1"/>
          <w:sz w:val="28"/>
          <w:szCs w:val="28"/>
          <w:lang w:val="en-US" w:eastAsia="zh-CN"/>
        </w:rPr>
      </w:pPr>
      <w:r>
        <w:rPr>
          <w:rFonts w:hint="default" w:ascii="Times New Roman" w:hAnsi="Times New Roman" w:eastAsia="仿宋" w:cs="Times New Roman"/>
          <w:color w:val="auto"/>
          <w:spacing w:val="0"/>
          <w:w w:val="100"/>
          <w:position w:val="-1"/>
          <w:sz w:val="28"/>
          <w:szCs w:val="28"/>
          <w:lang w:val="en-US" w:eastAsia="zh-CN"/>
        </w:rPr>
        <w:t>本工程监测设备见表 1.4-4。</w:t>
      </w:r>
    </w:p>
    <w:p>
      <w:pPr>
        <w:tabs>
          <w:tab w:val="left" w:pos="3040"/>
        </w:tabs>
        <w:spacing w:before="0" w:after="0" w:line="313" w:lineRule="exact"/>
        <w:ind w:left="699" w:right="-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4</w:t>
      </w:r>
      <w:r>
        <w:rPr>
          <w:rFonts w:hint="default" w:ascii="Times New Roman" w:hAnsi="Times New Roman" w:eastAsia="Times New Roman"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监测主要设备及仪器一览表</w:t>
      </w:r>
    </w:p>
    <w:p>
      <w:pPr>
        <w:spacing w:before="1" w:after="0" w:line="50" w:lineRule="exact"/>
        <w:jc w:val="left"/>
        <w:rPr>
          <w:rFonts w:hint="default" w:ascii="Times New Roman" w:hAnsi="Times New Roman" w:cs="Times New Roman"/>
          <w:color w:val="auto"/>
          <w:sz w:val="5"/>
          <w:szCs w:val="5"/>
        </w:rPr>
      </w:pPr>
    </w:p>
    <w:tbl>
      <w:tblPr>
        <w:tblStyle w:val="10"/>
        <w:tblW w:w="9288" w:type="dxa"/>
        <w:tblInd w:w="100" w:type="dxa"/>
        <w:tblLayout w:type="fixed"/>
        <w:tblCellMar>
          <w:top w:w="0" w:type="dxa"/>
          <w:left w:w="0" w:type="dxa"/>
          <w:bottom w:w="0" w:type="dxa"/>
          <w:right w:w="0" w:type="dxa"/>
        </w:tblCellMar>
      </w:tblPr>
      <w:tblGrid>
        <w:gridCol w:w="936"/>
        <w:gridCol w:w="1272"/>
        <w:gridCol w:w="1045"/>
        <w:gridCol w:w="3941"/>
        <w:gridCol w:w="1045"/>
        <w:gridCol w:w="1049"/>
      </w:tblGrid>
      <w:tr>
        <w:trPr>
          <w:trHeight w:val="341" w:hRule="exact"/>
        </w:trPr>
        <w:tc>
          <w:tcPr>
            <w:tcW w:w="2208" w:type="dxa"/>
            <w:gridSpan w:val="2"/>
            <w:tcBorders>
              <w:top w:val="single" w:color="000000" w:sz="4" w:space="0"/>
              <w:left w:val="single" w:color="000000" w:sz="4" w:space="0"/>
              <w:bottom w:val="single" w:color="000000" w:sz="4" w:space="0"/>
              <w:right w:val="single" w:color="000000" w:sz="4" w:space="0"/>
            </w:tcBorders>
          </w:tcPr>
          <w:p>
            <w:pPr>
              <w:spacing w:before="0" w:after="0" w:line="271" w:lineRule="exact"/>
              <w:ind w:left="851" w:right="83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类型</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6"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序号</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019"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监测</w:t>
            </w:r>
            <w:r>
              <w:rPr>
                <w:rFonts w:hint="default" w:ascii="Times New Roman" w:hAnsi="Times New Roman" w:eastAsia="仿宋" w:cs="Times New Roman"/>
                <w:color w:val="auto"/>
                <w:spacing w:val="-2"/>
                <w:w w:val="100"/>
                <w:position w:val="-1"/>
                <w:sz w:val="21"/>
                <w:szCs w:val="21"/>
              </w:rPr>
              <w:t>设</w:t>
            </w:r>
            <w:r>
              <w:rPr>
                <w:rFonts w:hint="default" w:ascii="Times New Roman" w:hAnsi="Times New Roman" w:eastAsia="仿宋" w:cs="Times New Roman"/>
                <w:color w:val="auto"/>
                <w:spacing w:val="0"/>
                <w:w w:val="100"/>
                <w:position w:val="-1"/>
                <w:sz w:val="21"/>
                <w:szCs w:val="21"/>
              </w:rPr>
              <w:t>施</w:t>
            </w:r>
            <w:r>
              <w:rPr>
                <w:rFonts w:hint="default" w:ascii="Times New Roman" w:hAnsi="Times New Roman" w:eastAsia="仿宋" w:cs="Times New Roman"/>
                <w:color w:val="auto"/>
                <w:spacing w:val="-2"/>
                <w:w w:val="100"/>
                <w:position w:val="-1"/>
                <w:sz w:val="21"/>
                <w:szCs w:val="21"/>
              </w:rPr>
              <w:t>及</w:t>
            </w:r>
            <w:r>
              <w:rPr>
                <w:rFonts w:hint="default" w:ascii="Times New Roman" w:hAnsi="Times New Roman" w:eastAsia="仿宋" w:cs="Times New Roman"/>
                <w:color w:val="auto"/>
                <w:spacing w:val="0"/>
                <w:w w:val="100"/>
                <w:position w:val="-1"/>
                <w:sz w:val="21"/>
                <w:szCs w:val="21"/>
              </w:rPr>
              <w:t>设</w:t>
            </w:r>
            <w:r>
              <w:rPr>
                <w:rFonts w:hint="default" w:ascii="Times New Roman" w:hAnsi="Times New Roman" w:eastAsia="仿宋" w:cs="Times New Roman"/>
                <w:color w:val="auto"/>
                <w:spacing w:val="-2"/>
                <w:w w:val="100"/>
                <w:position w:val="-1"/>
                <w:sz w:val="21"/>
                <w:szCs w:val="21"/>
              </w:rPr>
              <w:t>备</w:t>
            </w:r>
            <w:r>
              <w:rPr>
                <w:rFonts w:hint="default" w:ascii="Times New Roman" w:hAnsi="Times New Roman" w:eastAsia="仿宋" w:cs="Times New Roman"/>
                <w:color w:val="auto"/>
                <w:spacing w:val="0"/>
                <w:w w:val="100"/>
                <w:position w:val="-1"/>
                <w:sz w:val="21"/>
                <w:szCs w:val="21"/>
              </w:rPr>
              <w:t>名称</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6"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单位</w:t>
            </w:r>
          </w:p>
        </w:tc>
        <w:tc>
          <w:tcPr>
            <w:tcW w:w="1049"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9"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数量</w:t>
            </w:r>
          </w:p>
        </w:tc>
      </w:tr>
      <w:tr>
        <w:tblPrEx>
          <w:tblCellMar>
            <w:top w:w="0" w:type="dxa"/>
            <w:left w:w="0" w:type="dxa"/>
            <w:bottom w:w="0" w:type="dxa"/>
            <w:right w:w="0" w:type="dxa"/>
          </w:tblCellMar>
        </w:tblPrEx>
        <w:trPr>
          <w:trHeight w:val="338" w:hRule="exact"/>
        </w:trPr>
        <w:tc>
          <w:tcPr>
            <w:tcW w:w="936" w:type="dxa"/>
            <w:vMerge w:val="restart"/>
            <w:tcBorders>
              <w:top w:val="single" w:color="000000" w:sz="4" w:space="0"/>
              <w:left w:val="single" w:color="000000" w:sz="4" w:space="0"/>
              <w:right w:val="single" w:color="000000" w:sz="4" w:space="0"/>
            </w:tcBorders>
          </w:tcPr>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11" w:after="0" w:line="220" w:lineRule="exact"/>
              <w:jc w:val="left"/>
              <w:rPr>
                <w:rFonts w:hint="default" w:ascii="Times New Roman" w:hAnsi="Times New Roman" w:cs="Times New Roman"/>
                <w:color w:val="auto"/>
                <w:sz w:val="21"/>
                <w:szCs w:val="21"/>
              </w:rPr>
            </w:pPr>
          </w:p>
          <w:p>
            <w:pPr>
              <w:spacing w:before="0" w:after="0" w:line="240" w:lineRule="auto"/>
              <w:ind w:left="251"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设备</w:t>
            </w:r>
          </w:p>
        </w:tc>
        <w:tc>
          <w:tcPr>
            <w:tcW w:w="1272" w:type="dxa"/>
            <w:vMerge w:val="restart"/>
            <w:tcBorders>
              <w:top w:val="single" w:color="000000" w:sz="4" w:space="0"/>
              <w:left w:val="single" w:color="000000" w:sz="4" w:space="0"/>
              <w:right w:val="single" w:color="000000" w:sz="4" w:space="0"/>
            </w:tcBorders>
          </w:tcPr>
          <w:p>
            <w:pPr>
              <w:spacing w:before="6" w:after="0" w:line="19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41" w:lineRule="auto"/>
              <w:ind w:left="419" w:right="353"/>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测量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305"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皮尺</w:t>
            </w:r>
            <w:r>
              <w:rPr>
                <w:rFonts w:hint="default" w:ascii="Times New Roman" w:hAnsi="Times New Roman" w:eastAsia="仿宋" w:cs="Times New Roman"/>
                <w:color w:val="auto"/>
                <w:spacing w:val="-2"/>
                <w:w w:val="100"/>
                <w:position w:val="0"/>
                <w:sz w:val="21"/>
                <w:szCs w:val="21"/>
              </w:rPr>
              <w:t>（</w:t>
            </w:r>
            <w:r>
              <w:rPr>
                <w:rFonts w:hint="default" w:ascii="Times New Roman" w:hAnsi="Times New Roman" w:eastAsia="Times New Roman" w:cs="Times New Roman"/>
                <w:color w:val="auto"/>
                <w:spacing w:val="0"/>
                <w:w w:val="100"/>
                <w:position w:val="0"/>
                <w:sz w:val="21"/>
                <w:szCs w:val="21"/>
              </w:rPr>
              <w:t>100</w:t>
            </w:r>
            <w:r>
              <w:rPr>
                <w:rFonts w:hint="default" w:ascii="Times New Roman" w:hAnsi="Times New Roman" w:eastAsia="Times New Roman" w:cs="Times New Roman"/>
                <w:color w:val="auto"/>
                <w:spacing w:val="-4"/>
                <w:w w:val="100"/>
                <w:position w:val="0"/>
                <w:sz w:val="21"/>
                <w:szCs w:val="21"/>
              </w:rPr>
              <w:t>m</w:t>
            </w:r>
            <w:r>
              <w:rPr>
                <w:rFonts w:hint="default" w:ascii="Times New Roman" w:hAnsi="Times New Roman" w:eastAsia="仿宋" w:cs="Times New Roman"/>
                <w:color w:val="auto"/>
                <w:spacing w:val="0"/>
                <w:w w:val="100"/>
                <w:position w:val="0"/>
                <w:sz w:val="21"/>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r>
      <w:tr>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718" w:right="169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测绳</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375" w:right="358"/>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10</w:t>
            </w:r>
          </w:p>
        </w:tc>
      </w:tr>
      <w:tr>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305"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钢卷</w:t>
            </w:r>
            <w:r>
              <w:rPr>
                <w:rFonts w:hint="default" w:ascii="Times New Roman" w:hAnsi="Times New Roman" w:eastAsia="仿宋" w:cs="Times New Roman"/>
                <w:color w:val="auto"/>
                <w:spacing w:val="-2"/>
                <w:w w:val="100"/>
                <w:position w:val="0"/>
                <w:sz w:val="21"/>
                <w:szCs w:val="21"/>
              </w:rPr>
              <w:t>尺</w:t>
            </w:r>
            <w:r>
              <w:rPr>
                <w:rFonts w:hint="default" w:ascii="Times New Roman" w:hAnsi="Times New Roman" w:eastAsia="仿宋" w:cs="Times New Roman"/>
                <w:color w:val="auto"/>
                <w:spacing w:val="0"/>
                <w:w w:val="100"/>
                <w:position w:val="0"/>
                <w:sz w:val="21"/>
                <w:szCs w:val="21"/>
              </w:rPr>
              <w:t>（</w:t>
            </w:r>
            <w:r>
              <w:rPr>
                <w:rFonts w:hint="default" w:ascii="Times New Roman" w:hAnsi="Times New Roman" w:eastAsia="Times New Roman" w:cs="Times New Roman"/>
                <w:color w:val="auto"/>
                <w:spacing w:val="0"/>
                <w:w w:val="100"/>
                <w:position w:val="0"/>
                <w:sz w:val="21"/>
                <w:szCs w:val="21"/>
              </w:rPr>
              <w:t>3</w:t>
            </w:r>
            <w:r>
              <w:rPr>
                <w:rFonts w:hint="default" w:ascii="Times New Roman" w:hAnsi="Times New Roman" w:eastAsia="Times New Roman" w:cs="Times New Roman"/>
                <w:color w:val="auto"/>
                <w:spacing w:val="-4"/>
                <w:w w:val="100"/>
                <w:position w:val="0"/>
                <w:sz w:val="21"/>
                <w:szCs w:val="21"/>
              </w:rPr>
              <w:t>m</w:t>
            </w:r>
            <w:r>
              <w:rPr>
                <w:rFonts w:hint="default" w:ascii="Times New Roman" w:hAnsi="Times New Roman" w:eastAsia="仿宋" w:cs="Times New Roman"/>
                <w:color w:val="auto"/>
                <w:spacing w:val="0"/>
                <w:w w:val="100"/>
                <w:position w:val="0"/>
                <w:sz w:val="21"/>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r>
      <w:tr>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718" w:right="169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钢钎</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根</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375" w:right="357"/>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20</w:t>
            </w:r>
          </w:p>
        </w:tc>
      </w:tr>
      <w:tr>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5</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509" w:right="148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地质</w:t>
            </w:r>
            <w:r>
              <w:rPr>
                <w:rFonts w:hint="default" w:ascii="Times New Roman" w:hAnsi="Times New Roman" w:eastAsia="仿宋" w:cs="Times New Roman"/>
                <w:color w:val="auto"/>
                <w:spacing w:val="-2"/>
                <w:w w:val="100"/>
                <w:position w:val="-1"/>
                <w:sz w:val="21"/>
                <w:szCs w:val="21"/>
              </w:rPr>
              <w:t>罗</w:t>
            </w:r>
            <w:r>
              <w:rPr>
                <w:rFonts w:hint="default" w:ascii="Times New Roman" w:hAnsi="Times New Roman" w:eastAsia="仿宋" w:cs="Times New Roman"/>
                <w:color w:val="auto"/>
                <w:spacing w:val="0"/>
                <w:w w:val="100"/>
                <w:position w:val="-1"/>
                <w:sz w:val="21"/>
                <w:szCs w:val="21"/>
              </w:rPr>
              <w:t>盘</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个</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6</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194"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position w:val="0"/>
                <w:sz w:val="21"/>
                <w:szCs w:val="21"/>
              </w:rPr>
              <w:t>手持</w:t>
            </w:r>
            <w:r>
              <w:rPr>
                <w:rFonts w:hint="default" w:ascii="Times New Roman" w:hAnsi="Times New Roman" w:eastAsia="仿宋" w:cs="Times New Roman"/>
                <w:color w:val="auto"/>
                <w:spacing w:val="-55"/>
                <w:position w:val="0"/>
                <w:sz w:val="21"/>
                <w:szCs w:val="21"/>
              </w:rPr>
              <w:t xml:space="preserve"> </w:t>
            </w:r>
            <w:r>
              <w:rPr>
                <w:rFonts w:hint="default" w:ascii="Times New Roman" w:hAnsi="Times New Roman" w:eastAsia="Times New Roman" w:cs="Times New Roman"/>
                <w:color w:val="auto"/>
                <w:spacing w:val="-1"/>
                <w:w w:val="100"/>
                <w:position w:val="0"/>
                <w:sz w:val="21"/>
                <w:szCs w:val="21"/>
              </w:rPr>
              <w:t>G</w:t>
            </w:r>
            <w:r>
              <w:rPr>
                <w:rFonts w:hint="default" w:ascii="Times New Roman" w:hAnsi="Times New Roman" w:eastAsia="Times New Roman" w:cs="Times New Roman"/>
                <w:color w:val="auto"/>
                <w:spacing w:val="0"/>
                <w:w w:val="100"/>
                <w:position w:val="0"/>
                <w:sz w:val="21"/>
                <w:szCs w:val="21"/>
              </w:rPr>
              <w:t>PS</w:t>
            </w:r>
            <w:r>
              <w:rPr>
                <w:rFonts w:hint="default" w:ascii="Times New Roman" w:hAnsi="Times New Roman" w:eastAsia="Times New Roman" w:cs="Times New Roman"/>
                <w:color w:val="auto"/>
                <w:spacing w:val="1"/>
                <w:w w:val="100"/>
                <w:position w:val="0"/>
                <w:sz w:val="21"/>
                <w:szCs w:val="21"/>
              </w:rPr>
              <w:t xml:space="preserve"> </w:t>
            </w:r>
            <w:r>
              <w:rPr>
                <w:rFonts w:hint="default" w:ascii="Times New Roman" w:hAnsi="Times New Roman" w:eastAsia="仿宋" w:cs="Times New Roman"/>
                <w:color w:val="auto"/>
                <w:spacing w:val="-2"/>
                <w:w w:val="100"/>
                <w:position w:val="0"/>
                <w:sz w:val="21"/>
                <w:szCs w:val="21"/>
              </w:rPr>
              <w:t>定</w:t>
            </w:r>
            <w:r>
              <w:rPr>
                <w:rFonts w:hint="default" w:ascii="Times New Roman" w:hAnsi="Times New Roman" w:eastAsia="仿宋" w:cs="Times New Roman"/>
                <w:color w:val="auto"/>
                <w:spacing w:val="0"/>
                <w:w w:val="100"/>
                <w:position w:val="0"/>
                <w:sz w:val="21"/>
                <w:szCs w:val="21"/>
              </w:rPr>
              <w:t>位仪</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7</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自记</w:t>
            </w:r>
            <w:r>
              <w:rPr>
                <w:rFonts w:hint="default" w:ascii="Times New Roman" w:hAnsi="Times New Roman" w:eastAsia="仿宋" w:cs="Times New Roman"/>
                <w:color w:val="auto"/>
                <w:spacing w:val="-2"/>
                <w:w w:val="100"/>
                <w:position w:val="-1"/>
                <w:sz w:val="21"/>
                <w:szCs w:val="21"/>
              </w:rPr>
              <w:t>雨</w:t>
            </w:r>
            <w:r>
              <w:rPr>
                <w:rFonts w:hint="default" w:ascii="Times New Roman" w:hAnsi="Times New Roman" w:eastAsia="仿宋" w:cs="Times New Roman"/>
                <w:color w:val="auto"/>
                <w:spacing w:val="0"/>
                <w:w w:val="100"/>
                <w:position w:val="-1"/>
                <w:sz w:val="21"/>
                <w:szCs w:val="21"/>
              </w:rPr>
              <w:t>量计</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8</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2" w:lineRule="exact"/>
              <w:ind w:left="1298" w:right="127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植被</w:t>
            </w:r>
            <w:r>
              <w:rPr>
                <w:rFonts w:hint="default" w:ascii="Times New Roman" w:hAnsi="Times New Roman" w:eastAsia="仿宋" w:cs="Times New Roman"/>
                <w:color w:val="auto"/>
                <w:spacing w:val="-2"/>
                <w:w w:val="100"/>
                <w:position w:val="-1"/>
                <w:sz w:val="21"/>
                <w:szCs w:val="21"/>
              </w:rPr>
              <w:t>测</w:t>
            </w:r>
            <w:r>
              <w:rPr>
                <w:rFonts w:hint="default" w:ascii="Times New Roman" w:hAnsi="Times New Roman" w:eastAsia="仿宋" w:cs="Times New Roman"/>
                <w:color w:val="auto"/>
                <w:spacing w:val="0"/>
                <w:w w:val="100"/>
                <w:position w:val="-1"/>
                <w:sz w:val="21"/>
                <w:szCs w:val="21"/>
              </w:rPr>
              <w:t>量</w:t>
            </w:r>
            <w:r>
              <w:rPr>
                <w:rFonts w:hint="default" w:ascii="Times New Roman" w:hAnsi="Times New Roman" w:eastAsia="仿宋" w:cs="Times New Roman"/>
                <w:color w:val="auto"/>
                <w:spacing w:val="-2"/>
                <w:w w:val="100"/>
                <w:position w:val="-1"/>
                <w:sz w:val="21"/>
                <w:szCs w:val="21"/>
              </w:rPr>
              <w:t>仪</w:t>
            </w:r>
            <w:r>
              <w:rPr>
                <w:rFonts w:hint="default" w:ascii="Times New Roman" w:hAnsi="Times New Roman" w:eastAsia="仿宋" w:cs="Times New Roman"/>
                <w:color w:val="auto"/>
                <w:spacing w:val="0"/>
                <w:w w:val="100"/>
                <w:position w:val="-1"/>
                <w:sz w:val="21"/>
                <w:szCs w:val="21"/>
              </w:rPr>
              <w:t>器</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2"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套</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restart"/>
            <w:tcBorders>
              <w:top w:val="single" w:color="000000" w:sz="4" w:space="0"/>
              <w:left w:val="single" w:color="000000" w:sz="4" w:space="0"/>
              <w:right w:val="single" w:color="000000" w:sz="4" w:space="0"/>
            </w:tcBorders>
          </w:tcPr>
          <w:p>
            <w:pPr>
              <w:spacing w:before="6" w:after="0" w:line="11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41" w:lineRule="auto"/>
              <w:ind w:left="419" w:right="353"/>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其他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数码</w:t>
            </w:r>
            <w:r>
              <w:rPr>
                <w:rFonts w:hint="default" w:ascii="Times New Roman" w:hAnsi="Times New Roman" w:eastAsia="仿宋" w:cs="Times New Roman"/>
                <w:color w:val="auto"/>
                <w:spacing w:val="-2"/>
                <w:w w:val="100"/>
                <w:position w:val="-1"/>
                <w:sz w:val="21"/>
                <w:szCs w:val="21"/>
              </w:rPr>
              <w:t>摄</w:t>
            </w:r>
            <w:r>
              <w:rPr>
                <w:rFonts w:hint="default" w:ascii="Times New Roman" w:hAnsi="Times New Roman" w:eastAsia="仿宋" w:cs="Times New Roman"/>
                <w:color w:val="auto"/>
                <w:spacing w:val="0"/>
                <w:w w:val="100"/>
                <w:position w:val="-1"/>
                <w:sz w:val="21"/>
                <w:szCs w:val="21"/>
              </w:rPr>
              <w:t>像机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509" w:right="148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数码</w:t>
            </w:r>
            <w:r>
              <w:rPr>
                <w:rFonts w:hint="default" w:ascii="Times New Roman" w:hAnsi="Times New Roman" w:eastAsia="仿宋" w:cs="Times New Roman"/>
                <w:color w:val="auto"/>
                <w:spacing w:val="-2"/>
                <w:w w:val="100"/>
                <w:position w:val="-1"/>
                <w:sz w:val="21"/>
                <w:szCs w:val="21"/>
              </w:rPr>
              <w:t>相</w:t>
            </w:r>
            <w:r>
              <w:rPr>
                <w:rFonts w:hint="default" w:ascii="Times New Roman" w:hAnsi="Times New Roman" w:eastAsia="仿宋" w:cs="Times New Roman"/>
                <w:color w:val="auto"/>
                <w:spacing w:val="0"/>
                <w:w w:val="100"/>
                <w:position w:val="-1"/>
                <w:sz w:val="21"/>
                <w:szCs w:val="21"/>
              </w:rPr>
              <w:t>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笔记</w:t>
            </w:r>
            <w:r>
              <w:rPr>
                <w:rFonts w:hint="default" w:ascii="Times New Roman" w:hAnsi="Times New Roman" w:eastAsia="仿宋" w:cs="Times New Roman"/>
                <w:color w:val="auto"/>
                <w:spacing w:val="-2"/>
                <w:w w:val="100"/>
                <w:position w:val="-1"/>
                <w:sz w:val="21"/>
                <w:szCs w:val="21"/>
              </w:rPr>
              <w:t>本</w:t>
            </w:r>
            <w:r>
              <w:rPr>
                <w:rFonts w:hint="default" w:ascii="Times New Roman" w:hAnsi="Times New Roman" w:eastAsia="仿宋" w:cs="Times New Roman"/>
                <w:color w:val="auto"/>
                <w:spacing w:val="0"/>
                <w:w w:val="100"/>
                <w:position w:val="-1"/>
                <w:sz w:val="21"/>
                <w:szCs w:val="21"/>
              </w:rPr>
              <w:t>电脑</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612" w:right="159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打印机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rPr>
          <w:trHeight w:val="341" w:hRule="exact"/>
        </w:trPr>
        <w:tc>
          <w:tcPr>
            <w:tcW w:w="936"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eastAsia" w:ascii="Times New Roman" w:hAnsi="Times New Roman" w:eastAsia="宋体" w:cs="Times New Roman"/>
                <w:color w:val="auto"/>
                <w:spacing w:val="0"/>
                <w:w w:val="100"/>
                <w:sz w:val="21"/>
                <w:szCs w:val="21"/>
                <w:lang w:val="en-US" w:eastAsia="zh-CN"/>
              </w:rPr>
            </w:pPr>
            <w:r>
              <w:rPr>
                <w:rFonts w:hint="eastAsia" w:ascii="Times New Roman" w:hAnsi="Times New Roman" w:eastAsia="宋体" w:cs="Times New Roman"/>
                <w:color w:val="auto"/>
                <w:spacing w:val="0"/>
                <w:w w:val="100"/>
                <w:sz w:val="21"/>
                <w:szCs w:val="21"/>
                <w:lang w:val="en-US" w:eastAsia="zh-CN"/>
              </w:rPr>
              <w:t>5</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612" w:right="1592"/>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无人机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eastAsia" w:ascii="Times New Roman" w:hAnsi="Times New Roman" w:eastAsia="宋体" w:cs="Times New Roman"/>
                <w:color w:val="auto"/>
                <w:spacing w:val="0"/>
                <w:w w:val="100"/>
                <w:sz w:val="21"/>
                <w:szCs w:val="21"/>
                <w:lang w:val="en-US" w:eastAsia="zh-CN"/>
              </w:rPr>
            </w:pPr>
            <w:r>
              <w:rPr>
                <w:rFonts w:hint="eastAsia" w:ascii="Times New Roman" w:hAnsi="Times New Roman" w:eastAsia="宋体" w:cs="Times New Roman"/>
                <w:color w:val="auto"/>
                <w:spacing w:val="0"/>
                <w:w w:val="100"/>
                <w:sz w:val="21"/>
                <w:szCs w:val="21"/>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sz w:val="24"/>
          <w:szCs w:val="24"/>
          <w:lang w:eastAsia="zh-CN"/>
        </w:rPr>
      </w:pPr>
      <w:r>
        <w:rPr>
          <w:rFonts w:hint="default" w:ascii="Times New Roman" w:hAnsi="Times New Roman" w:eastAsia="仿宋" w:cs="Times New Roman"/>
          <w:b/>
          <w:bCs/>
          <w:color w:val="auto"/>
          <w:spacing w:val="0"/>
          <w:w w:val="100"/>
          <w:sz w:val="24"/>
          <w:szCs w:val="24"/>
          <w:lang w:eastAsia="zh-CN"/>
        </w:rPr>
        <w:t xml:space="preserve">1.4.5 </w:t>
      </w:r>
      <w:r>
        <w:rPr>
          <w:rFonts w:hint="eastAsia" w:ascii="Times New Roman" w:hAnsi="Times New Roman" w:eastAsia="仿宋" w:cs="Times New Roman"/>
          <w:b/>
          <w:bCs/>
          <w:color w:val="auto"/>
          <w:spacing w:val="0"/>
          <w:w w:val="100"/>
          <w:sz w:val="24"/>
          <w:szCs w:val="24"/>
          <w:lang w:val="en-US" w:eastAsia="zh-CN"/>
        </w:rPr>
        <w:t xml:space="preserve"> </w:t>
      </w:r>
      <w:r>
        <w:rPr>
          <w:rFonts w:hint="default" w:ascii="Times New Roman" w:hAnsi="Times New Roman" w:eastAsia="仿宋" w:cs="Times New Roman"/>
          <w:b/>
          <w:bCs/>
          <w:color w:val="auto"/>
          <w:spacing w:val="0"/>
          <w:w w:val="100"/>
          <w:sz w:val="24"/>
          <w:szCs w:val="24"/>
          <w:lang w:eastAsia="zh-CN"/>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监测方法采取地面观测、调查监测相结合进行。地面观测频率为旱季每季一次、雨 季每月一次，采用侵蚀沟样法、插钎法监测；调查监测以不定期调查巡查为主。</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eastAsia" w:ascii="Times New Roman" w:hAnsi="Times New Roman"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lang w:eastAsia="zh-CN"/>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植物措施调查选择具有代表性的地块作为标准样地，样地大小1m×1m、2m×2m、5m×5m，统计林草覆盖率和成活率等。 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2）内业调查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1）插钎法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选择样地，将钢钎分上中下、左中右纵横各 3 排（共 9 根）垂直坡面方向打入，钢 钎与坡面齐平，编号登记入册。观测钢钎出露地面高度，计算土壤侵蚀深度和土壤侵蚀 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对工程开挖、填筑形成的裸露地表、扰动地表面积、损坏的水土保持设施、水土流失面积、植被破坏等变化情况、水土流失危害及各项防治措施的实施情况、运行情况等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2019年7</w:t>
      </w:r>
      <w:r>
        <w:rPr>
          <w:rFonts w:hint="default" w:ascii="Times New Roman" w:hAnsi="Times New Roman" w:eastAsia="仿宋" w:cs="Times New Roman"/>
          <w:color w:val="auto"/>
          <w:spacing w:val="0"/>
          <w:w w:val="100"/>
          <w:sz w:val="24"/>
          <w:szCs w:val="24"/>
          <w:lang w:val="en-US" w:eastAsia="zh-CN"/>
        </w:rPr>
        <w:t>月依据水土保持方案报告、水土保持监测技术规程、规范要求，并结合工程建设实际情况，制定本工程水土保持监测实施方案，对项目区开展水土保持调查监测。从20</w:t>
      </w:r>
      <w:r>
        <w:rPr>
          <w:rFonts w:hint="eastAsia" w:ascii="Times New Roman" w:hAnsi="Times New Roman" w:eastAsia="仿宋" w:cs="Times New Roman"/>
          <w:color w:val="auto"/>
          <w:spacing w:val="0"/>
          <w:w w:val="100"/>
          <w:sz w:val="24"/>
          <w:szCs w:val="24"/>
          <w:lang w:val="en-US" w:eastAsia="zh-CN"/>
        </w:rPr>
        <w:t>19</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lang w:val="en-US" w:eastAsia="zh-CN"/>
        </w:rPr>
        <w:t>月开始至</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 xml:space="preserve">20 </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月监测结束。20</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月编制完成《</w:t>
      </w:r>
      <w:r>
        <w:rPr>
          <w:rFonts w:hint="eastAsia" w:ascii="Times New Roman" w:hAnsi="Times New Roman" w:eastAsia="仿宋" w:cs="Times New Roman"/>
          <w:color w:val="auto"/>
          <w:spacing w:val="0"/>
          <w:w w:val="100"/>
          <w:sz w:val="24"/>
          <w:szCs w:val="24"/>
          <w:lang w:val="en-US" w:eastAsia="zh-CN"/>
        </w:rPr>
        <w:t>三江侗天宫景区项目</w:t>
      </w:r>
      <w:r>
        <w:rPr>
          <w:rFonts w:hint="default" w:ascii="Times New Roman" w:hAnsi="Times New Roman" w:eastAsia="仿宋" w:cs="Times New Roman"/>
          <w:color w:val="auto"/>
          <w:spacing w:val="0"/>
          <w:w w:val="100"/>
          <w:sz w:val="24"/>
          <w:szCs w:val="24"/>
          <w:lang w:val="en-US" w:eastAsia="zh-CN"/>
        </w:rPr>
        <w:t>水土保持监总结报告》。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a）施工期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本工程主体工程于 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月建设完成，因此施工期的水土流失情况主要通过收集资料和调查获取。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b</w:t>
      </w:r>
      <w:r>
        <w:rPr>
          <w:rFonts w:hint="default" w:ascii="Times New Roman" w:hAnsi="Times New Roman" w:eastAsia="仿宋" w:cs="Times New Roman"/>
          <w:color w:val="auto"/>
          <w:spacing w:val="0"/>
          <w:w w:val="100"/>
          <w:sz w:val="24"/>
          <w:szCs w:val="24"/>
          <w:lang w:val="en-US" w:eastAsia="zh-CN"/>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评价阶段为20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月，我公司通过现场全面调查，收集资料，在整理、汇总和分析的基础上， 编写完成本监测总结报告。</w:t>
      </w:r>
    </w:p>
    <w:p>
      <w:pPr>
        <w:numPr>
          <w:ilvl w:val="0"/>
          <w:numId w:val="0"/>
        </w:numPr>
        <w:spacing w:before="0" w:after="0" w:line="322" w:lineRule="auto"/>
        <w:ind w:right="84" w:rightChars="0" w:firstLine="640" w:firstLineChars="200"/>
        <w:jc w:val="both"/>
        <w:rPr>
          <w:rFonts w:hint="default" w:ascii="Times New Roman" w:hAnsi="Times New Roman" w:eastAsia="Times New Roman" w:cs="Times New Roman"/>
          <w:b/>
          <w:bCs/>
          <w:color w:val="auto"/>
          <w:spacing w:val="0"/>
          <w:w w:val="100"/>
          <w:position w:val="0"/>
          <w:sz w:val="32"/>
          <w:szCs w:val="32"/>
        </w:rPr>
      </w:pPr>
      <w:r>
        <w:rPr>
          <w:rFonts w:hint="default" w:ascii="Times New Roman" w:hAnsi="Times New Roman" w:eastAsia="Times New Roman" w:cs="Times New Roman"/>
          <w:b/>
          <w:bCs/>
          <w:color w:val="auto"/>
          <w:spacing w:val="0"/>
          <w:w w:val="100"/>
          <w:position w:val="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2"/>
          <w:w w:val="99"/>
          <w:position w:val="0"/>
          <w:sz w:val="32"/>
          <w:szCs w:val="32"/>
        </w:rPr>
      </w:pPr>
      <w:bookmarkStart w:id="12" w:name="_Toc15171"/>
      <w:bookmarkStart w:id="13" w:name="_Toc16726"/>
      <w:r>
        <w:rPr>
          <w:rFonts w:hint="default" w:ascii="Times New Roman" w:hAnsi="Times New Roman" w:eastAsia="Times New Roman" w:cs="Times New Roman"/>
          <w:b/>
          <w:bCs/>
          <w:color w:val="auto"/>
          <w:spacing w:val="0"/>
          <w:w w:val="100"/>
          <w:position w:val="0"/>
          <w:sz w:val="32"/>
          <w:szCs w:val="32"/>
        </w:rPr>
        <w:t>2</w:t>
      </w:r>
      <w:r>
        <w:rPr>
          <w:rFonts w:hint="default" w:ascii="Times New Roman" w:hAnsi="Times New Roman" w:eastAsia="Times New Roman"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监测内容和方法</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监测内容包括扰动土地情况、取土（石、料）弃土（石、渣）、水土流失情况和水土保持设施建设情况4个方面，针对具体的监测内容及其特点，采用操作性强的监测方法，结合监测方法考虑监测频次。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auto"/>
          <w:sz w:val="30"/>
          <w:szCs w:val="30"/>
        </w:rPr>
      </w:pPr>
      <w:bookmarkStart w:id="14" w:name="_Toc17312"/>
      <w:bookmarkStart w:id="15" w:name="_Toc30438"/>
      <w:r>
        <w:rPr>
          <w:rFonts w:hint="default" w:ascii="Times New Roman" w:hAnsi="Times New Roman" w:eastAsia="Times New Roman" w:cs="Times New Roman"/>
          <w:b/>
          <w:bCs/>
          <w:i w:val="0"/>
          <w:iCs w:val="0"/>
          <w:color w:val="auto"/>
          <w:spacing w:val="1"/>
          <w:w w:val="100"/>
          <w:sz w:val="30"/>
          <w:szCs w:val="30"/>
        </w:rPr>
        <w:t>2</w:t>
      </w:r>
      <w:r>
        <w:rPr>
          <w:rFonts w:hint="default" w:ascii="Times New Roman" w:hAnsi="Times New Roman" w:eastAsia="Times New Roman" w:cs="Times New Roman"/>
          <w:b/>
          <w:bCs/>
          <w:i w:val="0"/>
          <w:iCs w:val="0"/>
          <w:color w:val="auto"/>
          <w:spacing w:val="0"/>
          <w:w w:val="100"/>
          <w:sz w:val="30"/>
          <w:szCs w:val="30"/>
        </w:rPr>
        <w:t xml:space="preserve">.1  </w:t>
      </w:r>
      <w:r>
        <w:rPr>
          <w:rFonts w:hint="default" w:ascii="Times New Roman" w:hAnsi="Times New Roman" w:eastAsia="仿宋" w:cs="Times New Roman"/>
          <w:b/>
          <w:bCs/>
          <w:i w:val="0"/>
          <w:iCs w:val="0"/>
          <w:color w:val="auto"/>
          <w:spacing w:val="2"/>
          <w:w w:val="100"/>
          <w:sz w:val="30"/>
          <w:szCs w:val="30"/>
        </w:rPr>
        <w:t>扰动</w:t>
      </w:r>
      <w:r>
        <w:rPr>
          <w:rFonts w:hint="default" w:ascii="Times New Roman" w:hAnsi="Times New Roman" w:eastAsia="仿宋" w:cs="Times New Roman"/>
          <w:b/>
          <w:bCs/>
          <w:i w:val="0"/>
          <w:iCs w:val="0"/>
          <w:color w:val="auto"/>
          <w:spacing w:val="0"/>
          <w:w w:val="100"/>
          <w:sz w:val="30"/>
          <w:szCs w:val="30"/>
        </w:rPr>
        <w:t>土</w:t>
      </w:r>
      <w:r>
        <w:rPr>
          <w:rFonts w:hint="default" w:ascii="Times New Roman" w:hAnsi="Times New Roman" w:eastAsia="仿宋" w:cs="Times New Roman"/>
          <w:b/>
          <w:bCs/>
          <w:i w:val="0"/>
          <w:iCs w:val="0"/>
          <w:color w:val="auto"/>
          <w:spacing w:val="2"/>
          <w:w w:val="100"/>
          <w:sz w:val="30"/>
          <w:szCs w:val="30"/>
        </w:rPr>
        <w:t>地</w:t>
      </w:r>
      <w:r>
        <w:rPr>
          <w:rFonts w:hint="default" w:ascii="Times New Roman" w:hAnsi="Times New Roman" w:eastAsia="仿宋" w:cs="Times New Roman"/>
          <w:b/>
          <w:bCs/>
          <w:i w:val="0"/>
          <w:iCs w:val="0"/>
          <w:color w:val="auto"/>
          <w:spacing w:val="0"/>
          <w:w w:val="100"/>
          <w:sz w:val="30"/>
          <w:szCs w:val="30"/>
        </w:rPr>
        <w:t>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扰动土地情况监测的内容包括扰动范围、面积、土地利用类型及其变化情况等。扰动土地情况监测采用实地量测、资料分析的方法，即依据水土保持方案，结合工程征地资料、施工、竣工资料、</w:t>
      </w:r>
      <w:r>
        <w:rPr>
          <w:rFonts w:hint="eastAsia" w:ascii="Times New Roman" w:hAnsi="Times New Roman" w:eastAsia="仿宋" w:cs="Times New Roman"/>
          <w:color w:val="auto"/>
          <w:spacing w:val="0"/>
          <w:w w:val="100"/>
          <w:sz w:val="24"/>
          <w:szCs w:val="24"/>
          <w:lang w:val="en-US" w:eastAsia="zh-CN"/>
        </w:rPr>
        <w:t>无人机航拍照片、</w:t>
      </w:r>
      <w:r>
        <w:rPr>
          <w:rFonts w:hint="default" w:ascii="Times New Roman" w:hAnsi="Times New Roman" w:eastAsia="仿宋" w:cs="Times New Roman"/>
          <w:color w:val="auto"/>
          <w:spacing w:val="0"/>
          <w:w w:val="100"/>
          <w:sz w:val="24"/>
          <w:szCs w:val="24"/>
          <w:lang w:val="en-US" w:eastAsia="zh-CN"/>
        </w:rPr>
        <w:t>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扰动土地情况的监测内容，频次和方法详见表2.1-1.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val="0"/>
          <w:bCs w:val="0"/>
          <w:color w:val="auto"/>
          <w:spacing w:val="0"/>
          <w:w w:val="100"/>
          <w:sz w:val="24"/>
          <w:szCs w:val="24"/>
          <w:lang w:val="en-US" w:eastAsia="zh-CN"/>
        </w:rPr>
      </w:pPr>
      <w:r>
        <w:rPr>
          <w:rFonts w:hint="default" w:ascii="Times New Roman" w:hAnsi="Times New Roman" w:eastAsia="仿宋" w:cs="Times New Roman"/>
          <w:b w:val="0"/>
          <w:bCs w:val="0"/>
          <w:color w:val="auto"/>
          <w:spacing w:val="0"/>
          <w:w w:val="100"/>
          <w:sz w:val="24"/>
          <w:szCs w:val="24"/>
          <w:lang w:val="en-US" w:eastAsia="zh-CN"/>
        </w:rPr>
        <w:t>表2.1-1</w:t>
      </w:r>
      <w:r>
        <w:rPr>
          <w:rFonts w:hint="eastAsia" w:ascii="Times New Roman" w:hAnsi="Times New Roman" w:eastAsia="仿宋" w:cs="Times New Roman"/>
          <w:b w:val="0"/>
          <w:bCs w:val="0"/>
          <w:color w:val="auto"/>
          <w:spacing w:val="0"/>
          <w:w w:val="100"/>
          <w:sz w:val="24"/>
          <w:szCs w:val="24"/>
          <w:lang w:val="en-US" w:eastAsia="zh-CN"/>
        </w:rPr>
        <w:t xml:space="preserve">                  </w:t>
      </w:r>
      <w:r>
        <w:rPr>
          <w:rFonts w:hint="default" w:ascii="Times New Roman" w:hAnsi="Times New Roman" w:eastAsia="仿宋" w:cs="Times New Roman"/>
          <w:b w:val="0"/>
          <w:bCs w:val="0"/>
          <w:color w:val="auto"/>
          <w:spacing w:val="0"/>
          <w:w w:val="100"/>
          <w:sz w:val="24"/>
          <w:szCs w:val="24"/>
          <w:lang w:val="en-US" w:eastAsia="zh-CN"/>
        </w:rPr>
        <w:t>扰动土地情况的监测内容，频次和方法</w:t>
      </w:r>
    </w:p>
    <w:tbl>
      <w:tblPr>
        <w:tblStyle w:val="11"/>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60"/>
        <w:gridCol w:w="1699"/>
        <w:gridCol w:w="262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lang w:val="en-US" w:eastAsia="zh-CN"/>
              </w:rPr>
              <w:t>编号</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监测项目</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监测频次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方法</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扰动范围</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1次/季度</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实地测量和资料分析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2</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扰动面积</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1次/季度</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实地测量和资料分析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3</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土地利用类型</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4</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变化情况</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bookmarkStart w:id="16" w:name="_Toc14573"/>
      <w:bookmarkStart w:id="17" w:name="_Toc902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r>
        <w:rPr>
          <w:rFonts w:hint="default" w:ascii="Times New Roman" w:hAnsi="Times New Roman" w:eastAsia="仿宋" w:cs="Times New Roman"/>
          <w:b/>
          <w:bCs/>
          <w:color w:val="auto"/>
          <w:spacing w:val="0"/>
          <w:w w:val="100"/>
          <w:sz w:val="30"/>
          <w:szCs w:val="30"/>
          <w:lang w:val="en-US" w:eastAsia="zh-CN"/>
        </w:rPr>
        <w:t>2.2</w:t>
      </w:r>
      <w:r>
        <w:rPr>
          <w:rFonts w:hint="eastAsia" w:ascii="Times New Roman" w:hAnsi="Times New Roman" w:eastAsia="仿宋" w:cs="Times New Roman"/>
          <w:b/>
          <w:bCs/>
          <w:color w:val="auto"/>
          <w:spacing w:val="0"/>
          <w:w w:val="100"/>
          <w:sz w:val="30"/>
          <w:szCs w:val="30"/>
          <w:lang w:val="en-US" w:eastAsia="zh-CN"/>
        </w:rPr>
        <w:t xml:space="preserve">  </w:t>
      </w:r>
      <w:r>
        <w:rPr>
          <w:rFonts w:hint="default" w:ascii="Times New Roman" w:hAnsi="Times New Roman" w:eastAsia="仿宋" w:cs="Times New Roman"/>
          <w:b/>
          <w:bCs/>
          <w:color w:val="auto"/>
          <w:spacing w:val="0"/>
          <w:w w:val="100"/>
          <w:sz w:val="30"/>
          <w:szCs w:val="30"/>
          <w:lang w:val="en-US" w:eastAsia="zh-CN"/>
        </w:rPr>
        <w:t>取料（土、石）、弃渣（土、石、矸石、尾矿等）</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Google卫星影像和现场拍照片等分析情况，实地测量核实其取土来源、弃渣去向及发生的数量。取土（石、料）弃土（石、渣）的方量检测精度为90%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取料、弃渣情况的监测内容、频次和方法详见表2.2-1.</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br w:type="page"/>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表2.2-1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取料、弃渣情况的监测内容、频次和方法</w:t>
      </w:r>
    </w:p>
    <w:tbl>
      <w:tblPr>
        <w:tblStyle w:val="11"/>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lang w:val="en-US" w:eastAsia="zh-CN"/>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7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场地面积</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取料或弃渣方量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表土剥离情况及方案</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场地防治措施落实情况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bookmarkStart w:id="18" w:name="_Toc1840"/>
      <w:bookmarkStart w:id="19" w:name="_Toc14245"/>
      <w:r>
        <w:rPr>
          <w:rFonts w:hint="default" w:ascii="Times New Roman" w:hAnsi="Times New Roman" w:eastAsia="仿宋" w:cs="Times New Roman"/>
          <w:b/>
          <w:bCs/>
          <w:color w:val="auto"/>
          <w:spacing w:val="0"/>
          <w:w w:val="100"/>
          <w:sz w:val="30"/>
          <w:szCs w:val="30"/>
          <w:lang w:val="en-US" w:eastAsia="zh-CN"/>
        </w:rPr>
        <w:t xml:space="preserve">2.3 </w:t>
      </w:r>
      <w:r>
        <w:rPr>
          <w:rFonts w:hint="eastAsia" w:ascii="Times New Roman" w:hAnsi="Times New Roman" w:eastAsia="仿宋" w:cs="Times New Roman"/>
          <w:b/>
          <w:bCs/>
          <w:color w:val="auto"/>
          <w:spacing w:val="0"/>
          <w:w w:val="100"/>
          <w:sz w:val="30"/>
          <w:szCs w:val="30"/>
          <w:lang w:val="en-US" w:eastAsia="zh-CN"/>
        </w:rPr>
        <w:t xml:space="preserve"> </w:t>
      </w:r>
      <w:r>
        <w:rPr>
          <w:rFonts w:hint="default" w:ascii="Times New Roman" w:hAnsi="Times New Roman" w:eastAsia="仿宋" w:cs="Times New Roman"/>
          <w:b/>
          <w:bCs/>
          <w:color w:val="auto"/>
          <w:spacing w:val="0"/>
          <w:w w:val="100"/>
          <w:sz w:val="30"/>
          <w:szCs w:val="30"/>
          <w:lang w:val="en-US" w:eastAsia="zh-CN"/>
        </w:rPr>
        <w:t>水土保持措施</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Google卫星影像和现场拍照片等分析，建立水土保持措施台账，到实地测量核实措施类型、数量和防护效果。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表2.3-1</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设施建设情况的监测内容、频次和方法</w:t>
      </w:r>
    </w:p>
    <w:tbl>
      <w:tblPr>
        <w:tblStyle w:val="11"/>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lang w:val="en-US" w:eastAsia="zh-CN"/>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6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地面观测和资料分析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地面观测和资料分析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bl>
    <w:p>
      <w:pPr>
        <w:numPr>
          <w:ilvl w:val="0"/>
          <w:numId w:val="0"/>
        </w:numPr>
        <w:spacing w:before="0" w:after="0" w:line="322" w:lineRule="auto"/>
        <w:ind w:right="84" w:rightChars="0"/>
        <w:jc w:val="both"/>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0" w:name="_Toc19494"/>
      <w:bookmarkStart w:id="21" w:name="_Toc26183"/>
      <w:r>
        <w:rPr>
          <w:rFonts w:hint="default" w:ascii="Times New Roman" w:hAnsi="Times New Roman" w:eastAsia="仿宋" w:cs="Times New Roman"/>
          <w:b/>
          <w:bCs/>
          <w:color w:val="auto"/>
          <w:spacing w:val="0"/>
          <w:w w:val="100"/>
          <w:position w:val="-2"/>
          <w:sz w:val="30"/>
          <w:szCs w:val="30"/>
          <w:lang w:val="en-US" w:eastAsia="zh-CN"/>
        </w:rPr>
        <w:t>2.4  水土流失情况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流失情况监测主要包括土壤流失面积、土壤流失量、取土（石、料）弃土（石、渣）潜在土壤流失量和水土流失危害等内容。水土流失采用地面观测、实地测量和资料分析的方法，即结合Google卫星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auto"/>
          <w:spacing w:val="0"/>
          <w:w w:val="100"/>
          <w:position w:val="-2"/>
          <w:sz w:val="24"/>
          <w:szCs w:val="24"/>
          <w:lang w:val="en-US" w:eastAsia="zh-CN"/>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表</w:t>
      </w:r>
      <w:r>
        <w:rPr>
          <w:rFonts w:hint="eastAsia" w:ascii="Times New Roman" w:hAnsi="Times New Roman" w:eastAsia="仿宋" w:cs="Times New Roman"/>
          <w:color w:val="auto"/>
          <w:spacing w:val="0"/>
          <w:w w:val="100"/>
          <w:position w:val="-2"/>
          <w:sz w:val="24"/>
          <w:szCs w:val="24"/>
          <w:lang w:val="en-US" w:eastAsia="zh-CN"/>
        </w:rPr>
        <w:t xml:space="preserve">2.4-1                  </w:t>
      </w:r>
      <w:r>
        <w:rPr>
          <w:rFonts w:hint="default" w:ascii="Times New Roman" w:hAnsi="Times New Roman" w:eastAsia="仿宋" w:cs="Times New Roman"/>
          <w:color w:val="auto"/>
          <w:spacing w:val="0"/>
          <w:w w:val="100"/>
          <w:position w:val="-2"/>
          <w:sz w:val="24"/>
          <w:szCs w:val="24"/>
          <w:lang w:val="en-US" w:eastAsia="zh-CN"/>
        </w:rPr>
        <w:t>水土流失情况的监测内容，频次和方法</w:t>
      </w:r>
    </w:p>
    <w:tbl>
      <w:tblPr>
        <w:tblStyle w:val="11"/>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109"/>
        <w:gridCol w:w="1482"/>
        <w:gridCol w:w="254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编号</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水土流失面积</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土壤流失量</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取料弃渣潜在土壤流失量</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水土流失危害</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22" w:name="_Toc32598"/>
      <w:bookmarkStart w:id="23" w:name="_Toc11890"/>
      <w:r>
        <w:rPr>
          <w:rFonts w:hint="default" w:ascii="Times New Roman" w:hAnsi="Times New Roman" w:eastAsia="仿宋" w:cs="Times New Roman"/>
          <w:b/>
          <w:bCs/>
          <w:color w:val="auto"/>
          <w:spacing w:val="0"/>
          <w:w w:val="100"/>
          <w:position w:val="-2"/>
          <w:sz w:val="32"/>
          <w:szCs w:val="32"/>
          <w:lang w:val="en-US" w:eastAsia="zh-CN"/>
        </w:rPr>
        <w:t>3</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重点监测部位水土流失动态监测结果</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4" w:name="_Toc7279"/>
      <w:bookmarkStart w:id="25" w:name="_Toc8771"/>
      <w:r>
        <w:rPr>
          <w:rFonts w:hint="default" w:ascii="Times New Roman" w:hAnsi="Times New Roman" w:eastAsia="仿宋" w:cs="Times New Roman"/>
          <w:b/>
          <w:bCs/>
          <w:color w:val="auto"/>
          <w:spacing w:val="0"/>
          <w:w w:val="100"/>
          <w:position w:val="-2"/>
          <w:sz w:val="30"/>
          <w:szCs w:val="30"/>
          <w:lang w:val="en-US" w:eastAsia="zh-CN"/>
        </w:rPr>
        <w:t xml:space="preserve">3.1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防治责任范围监测结果</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3.1.1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    a）</w:t>
      </w:r>
      <w:r>
        <w:rPr>
          <w:rFonts w:hint="default" w:ascii="Times New Roman" w:hAnsi="Times New Roman" w:eastAsia="仿宋" w:cs="Times New Roman"/>
          <w:color w:val="auto"/>
          <w:spacing w:val="0"/>
          <w:w w:val="100"/>
          <w:sz w:val="24"/>
          <w:szCs w:val="24"/>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auto"/>
          <w:spacing w:val="3"/>
          <w:w w:val="100"/>
          <w:sz w:val="24"/>
          <w:szCs w:val="24"/>
          <w:lang w:eastAsia="zh-CN"/>
        </w:rPr>
      </w:pPr>
      <w:r>
        <w:rPr>
          <w:rFonts w:hint="default" w:ascii="Times New Roman" w:hAnsi="Times New Roman" w:eastAsia="仿宋" w:cs="Times New Roman"/>
          <w:color w:val="auto"/>
          <w:spacing w:val="2"/>
          <w:w w:val="100"/>
          <w:sz w:val="24"/>
          <w:szCs w:val="24"/>
        </w:rPr>
        <w:t>根据《</w:t>
      </w:r>
      <w:r>
        <w:rPr>
          <w:rFonts w:hint="eastAsia" w:ascii="Times New Roman" w:hAnsi="Times New Roman" w:eastAsia="仿宋" w:cs="Times New Roman"/>
          <w:color w:val="auto"/>
          <w:spacing w:val="2"/>
          <w:w w:val="100"/>
          <w:sz w:val="24"/>
          <w:szCs w:val="24"/>
          <w:lang w:eastAsia="zh-CN"/>
        </w:rPr>
        <w:t>三江侗天宫景区项目</w:t>
      </w:r>
      <w:r>
        <w:rPr>
          <w:rFonts w:hint="default" w:ascii="Times New Roman" w:hAnsi="Times New Roman" w:eastAsia="仿宋" w:cs="Times New Roman"/>
          <w:color w:val="auto"/>
          <w:spacing w:val="2"/>
          <w:w w:val="100"/>
          <w:sz w:val="24"/>
          <w:szCs w:val="24"/>
        </w:rPr>
        <w:t>水土</w:t>
      </w:r>
      <w:r>
        <w:rPr>
          <w:rFonts w:hint="default" w:ascii="Times New Roman" w:hAnsi="Times New Roman" w:eastAsia="仿宋" w:cs="Times New Roman"/>
          <w:color w:val="auto"/>
          <w:spacing w:val="0"/>
          <w:w w:val="100"/>
          <w:sz w:val="24"/>
          <w:szCs w:val="24"/>
        </w:rPr>
        <w:t>保持</w:t>
      </w:r>
      <w:r>
        <w:rPr>
          <w:rFonts w:hint="default" w:ascii="Times New Roman" w:hAnsi="Times New Roman" w:eastAsia="仿宋" w:cs="Times New Roman"/>
          <w:color w:val="auto"/>
          <w:spacing w:val="2"/>
          <w:w w:val="100"/>
          <w:sz w:val="24"/>
          <w:szCs w:val="24"/>
        </w:rPr>
        <w:t>方案报告书</w:t>
      </w:r>
      <w:r>
        <w:rPr>
          <w:rFonts w:hint="default" w:ascii="Times New Roman" w:hAnsi="Times New Roman" w:eastAsia="仿宋" w:cs="Times New Roman"/>
          <w:color w:val="auto"/>
          <w:spacing w:val="-118"/>
          <w:w w:val="100"/>
          <w:sz w:val="24"/>
          <w:szCs w:val="24"/>
        </w:rPr>
        <w:t>》</w:t>
      </w:r>
      <w:r>
        <w:rPr>
          <w:rFonts w:hint="default" w:ascii="Times New Roman" w:hAnsi="Times New Roman" w:eastAsia="仿宋" w:cs="Times New Roman"/>
          <w:color w:val="auto"/>
          <w:spacing w:val="4"/>
          <w:w w:val="100"/>
          <w:sz w:val="24"/>
          <w:szCs w:val="24"/>
        </w:rPr>
        <w:t>（</w:t>
      </w:r>
      <w:r>
        <w:rPr>
          <w:rFonts w:hint="default" w:ascii="Times New Roman" w:hAnsi="Times New Roman" w:eastAsia="仿宋" w:cs="Times New Roman"/>
          <w:color w:val="auto"/>
          <w:spacing w:val="2"/>
          <w:w w:val="100"/>
          <w:sz w:val="24"/>
          <w:szCs w:val="24"/>
        </w:rPr>
        <w:t>报</w:t>
      </w:r>
      <w:r>
        <w:rPr>
          <w:rFonts w:hint="default" w:ascii="Times New Roman" w:hAnsi="Times New Roman" w:eastAsia="仿宋" w:cs="Times New Roman"/>
          <w:color w:val="auto"/>
          <w:spacing w:val="0"/>
          <w:w w:val="100"/>
          <w:sz w:val="24"/>
          <w:szCs w:val="24"/>
        </w:rPr>
        <w:t>批稿</w:t>
      </w:r>
      <w:r>
        <w:rPr>
          <w:rFonts w:hint="default" w:ascii="Times New Roman" w:hAnsi="Times New Roman" w:eastAsia="仿宋" w:cs="Times New Roman"/>
          <w:color w:val="auto"/>
          <w:spacing w:val="3"/>
          <w:w w:val="100"/>
          <w:sz w:val="24"/>
          <w:szCs w:val="24"/>
        </w:rPr>
        <w:t>）</w:t>
      </w:r>
      <w:r>
        <w:rPr>
          <w:rFonts w:hint="default" w:ascii="Times New Roman" w:hAnsi="Times New Roman" w:eastAsia="仿宋" w:cs="Times New Roman"/>
          <w:color w:val="auto"/>
          <w:spacing w:val="3"/>
          <w:w w:val="100"/>
          <w:sz w:val="24"/>
          <w:szCs w:val="24"/>
          <w:lang w:eastAsia="zh-CN"/>
        </w:rPr>
        <w:t>，工程水土流失防治责任范围总面积为</w:t>
      </w:r>
      <w:r>
        <w:rPr>
          <w:rFonts w:hint="eastAsia" w:ascii="Times New Roman" w:hAnsi="Times New Roman" w:eastAsia="仿宋" w:cs="Times New Roman"/>
          <w:color w:val="auto"/>
          <w:spacing w:val="3"/>
          <w:w w:val="100"/>
          <w:sz w:val="24"/>
          <w:szCs w:val="24"/>
          <w:lang w:val="en-US" w:eastAsia="zh-CN"/>
        </w:rPr>
        <w:t>1.56</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。方案批复的水土流失防治责任范围详见表 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center"/>
        <w:textAlignment w:val="auto"/>
        <w:outlineLvl w:val="9"/>
        <w:rPr>
          <w:rFonts w:hint="default" w:ascii="Times New Roman" w:hAnsi="Times New Roman" w:eastAsia="仿宋" w:cs="Times New Roman"/>
          <w:color w:val="auto"/>
          <w:spacing w:val="3"/>
          <w:w w:val="100"/>
          <w:sz w:val="24"/>
          <w:szCs w:val="24"/>
          <w:vertAlign w:val="superscript"/>
          <w:lang w:val="en-US" w:eastAsia="zh-CN"/>
        </w:rPr>
      </w:pPr>
      <w:r>
        <w:rPr>
          <w:rFonts w:hint="default" w:ascii="Times New Roman" w:hAnsi="Times New Roman" w:eastAsia="仿宋" w:cs="Times New Roman"/>
          <w:color w:val="auto"/>
          <w:spacing w:val="3"/>
          <w:w w:val="100"/>
          <w:sz w:val="24"/>
          <w:szCs w:val="24"/>
          <w:lang w:val="en-US" w:eastAsia="zh-CN"/>
        </w:rPr>
        <w:t>表 3.1-1</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 xml:space="preserve"> 方案批复水土流失防治责任范围表</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单位：hm</w:t>
      </w:r>
      <w:r>
        <w:rPr>
          <w:rFonts w:hint="default" w:ascii="Times New Roman" w:hAnsi="Times New Roman" w:eastAsia="仿宋" w:cs="Times New Roman"/>
          <w:color w:val="auto"/>
          <w:spacing w:val="3"/>
          <w:w w:val="100"/>
          <w:sz w:val="24"/>
          <w:szCs w:val="24"/>
          <w:vertAlign w:val="superscript"/>
          <w:lang w:val="en-US" w:eastAsia="zh-CN"/>
        </w:rPr>
        <w:t>2</w:t>
      </w:r>
    </w:p>
    <w:tbl>
      <w:tblPr>
        <w:tblStyle w:val="1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70"/>
        <w:gridCol w:w="1351"/>
        <w:gridCol w:w="1351"/>
        <w:gridCol w:w="1138"/>
        <w:gridCol w:w="156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编号</w:t>
            </w:r>
          </w:p>
        </w:tc>
        <w:tc>
          <w:tcPr>
            <w:tcW w:w="1870"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项目</w:t>
            </w:r>
          </w:p>
        </w:tc>
        <w:tc>
          <w:tcPr>
            <w:tcW w:w="3840" w:type="dxa"/>
            <w:gridSpan w:val="3"/>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项目建设区</w:t>
            </w:r>
          </w:p>
        </w:tc>
        <w:tc>
          <w:tcPr>
            <w:tcW w:w="1564"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直接影响区</w:t>
            </w:r>
          </w:p>
        </w:tc>
        <w:tc>
          <w:tcPr>
            <w:tcW w:w="1351"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870"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351"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永久</w:t>
            </w:r>
          </w:p>
        </w:tc>
        <w:tc>
          <w:tcPr>
            <w:tcW w:w="1351"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临时</w:t>
            </w:r>
          </w:p>
        </w:tc>
        <w:tc>
          <w:tcPr>
            <w:tcW w:w="1138"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小计</w:t>
            </w:r>
          </w:p>
        </w:tc>
        <w:tc>
          <w:tcPr>
            <w:tcW w:w="1564"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c>
          <w:tcPr>
            <w:tcW w:w="1351"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auto"/>
                <w:spacing w:val="3"/>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6"/>
                <w:rFonts w:hint="default" w:ascii="Times New Roman" w:hAnsi="Times New Roman" w:eastAsia="仿宋" w:cs="Times New Roman"/>
                <w:i w:val="0"/>
                <w:color w:val="auto"/>
                <w:sz w:val="21"/>
                <w:szCs w:val="21"/>
                <w:lang w:val="en-US" w:eastAsia="zh-CN" w:bidi="ar"/>
              </w:rPr>
            </w:pPr>
            <w:r>
              <w:rPr>
                <w:rStyle w:val="16"/>
                <w:rFonts w:hint="default" w:ascii="Times New Roman" w:hAnsi="Times New Roman" w:eastAsia="仿宋" w:cs="Times New Roman"/>
                <w:i w:val="0"/>
                <w:color w:val="auto"/>
                <w:sz w:val="21"/>
                <w:szCs w:val="21"/>
                <w:lang w:val="en-US" w:eastAsia="zh-CN" w:bidi="ar"/>
              </w:rPr>
              <w:t>1</w:t>
            </w:r>
          </w:p>
        </w:tc>
        <w:tc>
          <w:tcPr>
            <w:tcW w:w="187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Style w:val="16"/>
                <w:rFonts w:hint="default" w:ascii="Times New Roman" w:hAnsi="Times New Roman" w:eastAsia="仿宋" w:cs="Times New Roman"/>
                <w:i w:val="0"/>
                <w:color w:val="auto"/>
                <w:sz w:val="21"/>
                <w:szCs w:val="21"/>
                <w:lang w:val="en-US" w:eastAsia="zh-CN" w:bidi="ar"/>
              </w:rPr>
            </w:pPr>
            <w:r>
              <w:rPr>
                <w:rStyle w:val="16"/>
                <w:rFonts w:hint="eastAsia" w:ascii="Times New Roman" w:hAnsi="Times New Roman" w:eastAsia="仿宋" w:cs="Times New Roman"/>
                <w:i w:val="0"/>
                <w:color w:val="auto"/>
                <w:sz w:val="21"/>
                <w:szCs w:val="21"/>
                <w:lang w:val="en-US" w:eastAsia="zh-CN" w:bidi="ar"/>
              </w:rPr>
              <w:t>建构筑物区</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0.65</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p>
        </w:tc>
        <w:tc>
          <w:tcPr>
            <w:tcW w:w="113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0.65</w:t>
            </w:r>
          </w:p>
        </w:tc>
        <w:tc>
          <w:tcPr>
            <w:tcW w:w="1564"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keepNext w:val="0"/>
              <w:keepLines w:val="0"/>
              <w:widowControl/>
              <w:suppressLineNumbers w:val="0"/>
              <w:jc w:val="center"/>
              <w:textAlignment w:val="center"/>
              <w:rPr>
                <w:rStyle w:val="16"/>
                <w:rFonts w:hint="default" w:ascii="Times New Roman" w:hAnsi="Times New Roman" w:eastAsia="仿宋" w:cs="Times New Roman"/>
                <w:i w:val="0"/>
                <w:color w:val="auto"/>
                <w:sz w:val="21"/>
                <w:szCs w:val="21"/>
                <w:lang w:val="en-US" w:eastAsia="zh-CN" w:bidi="ar"/>
              </w:rPr>
            </w:pPr>
            <w:r>
              <w:rPr>
                <w:rStyle w:val="16"/>
                <w:rFonts w:hint="default" w:ascii="Times New Roman" w:hAnsi="Times New Roman" w:eastAsia="仿宋" w:cs="Times New Roman"/>
                <w:i w:val="0"/>
                <w:color w:val="auto"/>
                <w:sz w:val="21"/>
                <w:szCs w:val="21"/>
                <w:lang w:val="en-US" w:eastAsia="zh-CN" w:bidi="ar"/>
              </w:rPr>
              <w:t>2</w:t>
            </w:r>
          </w:p>
        </w:tc>
        <w:tc>
          <w:tcPr>
            <w:tcW w:w="187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Style w:val="16"/>
                <w:rFonts w:hint="default" w:ascii="Times New Roman" w:hAnsi="Times New Roman" w:eastAsia="仿宋" w:cs="Times New Roman"/>
                <w:i w:val="0"/>
                <w:color w:val="auto"/>
                <w:sz w:val="21"/>
                <w:szCs w:val="21"/>
                <w:lang w:val="en-US" w:eastAsia="zh-CN" w:bidi="ar"/>
              </w:rPr>
            </w:pPr>
            <w:r>
              <w:rPr>
                <w:rStyle w:val="16"/>
                <w:rFonts w:hint="eastAsia" w:ascii="Times New Roman" w:hAnsi="Times New Roman" w:eastAsia="仿宋" w:cs="Times New Roman"/>
                <w:i w:val="0"/>
                <w:color w:val="auto"/>
                <w:sz w:val="21"/>
                <w:szCs w:val="21"/>
                <w:lang w:val="en-US" w:eastAsia="zh-CN" w:bidi="ar"/>
              </w:rPr>
              <w:t>道路绿化区</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0.91</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p>
        </w:tc>
        <w:tc>
          <w:tcPr>
            <w:tcW w:w="113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0.91</w:t>
            </w:r>
          </w:p>
        </w:tc>
        <w:tc>
          <w:tcPr>
            <w:tcW w:w="1564"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6"/>
                <w:rFonts w:hint="default" w:ascii="Times New Roman" w:hAnsi="Times New Roman" w:eastAsia="仿宋" w:cs="Times New Roman"/>
                <w:i w:val="0"/>
                <w:color w:val="auto"/>
                <w:sz w:val="21"/>
                <w:szCs w:val="21"/>
                <w:lang w:val="en-US" w:eastAsia="zh-CN" w:bidi="ar"/>
              </w:rPr>
            </w:pPr>
            <w:r>
              <w:rPr>
                <w:rStyle w:val="16"/>
                <w:rFonts w:hint="default" w:ascii="Times New Roman" w:hAnsi="Times New Roman" w:eastAsia="仿宋" w:cs="Times New Roman"/>
                <w:i w:val="0"/>
                <w:color w:val="auto"/>
                <w:sz w:val="21"/>
                <w:szCs w:val="21"/>
                <w:lang w:val="en-US" w:eastAsia="zh-CN" w:bidi="ar"/>
              </w:rPr>
              <w:t>3</w:t>
            </w:r>
          </w:p>
        </w:tc>
        <w:tc>
          <w:tcPr>
            <w:tcW w:w="187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Style w:val="16"/>
                <w:rFonts w:hint="default" w:ascii="Times New Roman" w:hAnsi="Times New Roman" w:eastAsia="仿宋" w:cs="Times New Roman"/>
                <w:i w:val="0"/>
                <w:color w:val="auto"/>
                <w:sz w:val="21"/>
                <w:szCs w:val="21"/>
                <w:lang w:val="en-US" w:eastAsia="zh-CN" w:bidi="ar"/>
              </w:rPr>
            </w:pPr>
            <w:r>
              <w:rPr>
                <w:rStyle w:val="16"/>
                <w:rFonts w:hint="eastAsia" w:ascii="Times New Roman" w:hAnsi="Times New Roman" w:eastAsia="仿宋" w:cs="Times New Roman"/>
                <w:i w:val="0"/>
                <w:color w:val="auto"/>
                <w:sz w:val="21"/>
                <w:szCs w:val="21"/>
                <w:lang w:val="en-US" w:eastAsia="zh-CN" w:bidi="ar"/>
              </w:rPr>
              <w:t>施工生产生活区</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（0.03）</w:t>
            </w:r>
          </w:p>
        </w:tc>
        <w:tc>
          <w:tcPr>
            <w:tcW w:w="1351" w:type="dxa"/>
            <w:vAlign w:val="bottom"/>
          </w:tcPr>
          <w:p>
            <w:pPr>
              <w:jc w:val="center"/>
              <w:rPr>
                <w:rFonts w:hint="default" w:ascii="Times New Roman" w:hAnsi="Times New Roman" w:eastAsia="仿宋" w:cs="Times New Roman"/>
                <w:color w:val="auto"/>
                <w:spacing w:val="3"/>
                <w:w w:val="100"/>
                <w:sz w:val="21"/>
                <w:szCs w:val="21"/>
                <w:vertAlign w:val="baseline"/>
                <w:lang w:val="en-US" w:eastAsia="zh-CN"/>
              </w:rPr>
            </w:pPr>
          </w:p>
        </w:tc>
        <w:tc>
          <w:tcPr>
            <w:tcW w:w="113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kern w:val="2"/>
                <w:sz w:val="21"/>
                <w:szCs w:val="21"/>
                <w:vertAlign w:val="baseline"/>
                <w:lang w:val="en-US" w:eastAsia="zh-CN" w:bidi="ar-SA"/>
              </w:rPr>
            </w:pPr>
            <w:r>
              <w:rPr>
                <w:rFonts w:hint="eastAsia" w:ascii="Times New Roman" w:hAnsi="Times New Roman" w:eastAsia="仿宋" w:cs="Times New Roman"/>
                <w:color w:val="auto"/>
                <w:spacing w:val="3"/>
                <w:w w:val="100"/>
                <w:sz w:val="21"/>
                <w:szCs w:val="21"/>
                <w:vertAlign w:val="baseline"/>
                <w:lang w:val="en-US" w:eastAsia="zh-CN"/>
              </w:rPr>
              <w:t>（0.03）</w:t>
            </w:r>
          </w:p>
        </w:tc>
        <w:tc>
          <w:tcPr>
            <w:tcW w:w="1564"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1" w:type="dxa"/>
            <w:gridSpan w:val="2"/>
            <w:vAlign w:val="center"/>
          </w:tcPr>
          <w:p>
            <w:pPr>
              <w:keepNext w:val="0"/>
              <w:keepLines w:val="0"/>
              <w:widowControl/>
              <w:suppressLineNumbers w:val="0"/>
              <w:jc w:val="center"/>
              <w:textAlignment w:val="center"/>
              <w:rPr>
                <w:rStyle w:val="16"/>
                <w:rFonts w:hint="default" w:ascii="Times New Roman" w:hAnsi="Times New Roman" w:eastAsia="仿宋" w:cs="Times New Roman"/>
                <w:i w:val="0"/>
                <w:color w:val="auto"/>
                <w:sz w:val="21"/>
                <w:szCs w:val="21"/>
                <w:lang w:val="en-US" w:eastAsia="zh-CN" w:bidi="ar"/>
              </w:rPr>
            </w:pPr>
            <w:r>
              <w:rPr>
                <w:rStyle w:val="16"/>
                <w:rFonts w:hint="default" w:ascii="Times New Roman" w:hAnsi="Times New Roman" w:eastAsia="仿宋" w:cs="Times New Roman"/>
                <w:i w:val="0"/>
                <w:color w:val="auto"/>
                <w:sz w:val="21"/>
                <w:szCs w:val="21"/>
                <w:lang w:val="en-US" w:eastAsia="zh-CN" w:bidi="ar"/>
              </w:rPr>
              <w:t>合  计</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1.56</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0.15</w:t>
            </w:r>
          </w:p>
        </w:tc>
        <w:tc>
          <w:tcPr>
            <w:tcW w:w="113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1.56</w:t>
            </w:r>
          </w:p>
        </w:tc>
        <w:tc>
          <w:tcPr>
            <w:tcW w:w="1564"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w:t>
            </w:r>
          </w:p>
        </w:tc>
        <w:tc>
          <w:tcPr>
            <w:tcW w:w="1351"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1.56</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仿宋" w:cs="Times New Roman"/>
          <w:color w:val="auto"/>
          <w:spacing w:val="0"/>
          <w:w w:val="100"/>
          <w:position w:val="0"/>
          <w:sz w:val="24"/>
          <w:szCs w:val="24"/>
          <w:lang w:val="en-US" w:eastAsia="zh-CN"/>
        </w:rPr>
        <w:t>b)</w:t>
      </w:r>
      <w:r>
        <w:rPr>
          <w:rFonts w:hint="default" w:ascii="Times New Roman" w:hAnsi="Times New Roman" w:eastAsia="仿宋" w:cs="Times New Roman"/>
          <w:color w:val="auto"/>
          <w:spacing w:val="0"/>
          <w:w w:val="100"/>
          <w:position w:val="0"/>
          <w:sz w:val="24"/>
          <w:szCs w:val="24"/>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eastAsia="zh-CN"/>
        </w:rPr>
        <w:t>根据工程征占地资料和实际现场监测</w:t>
      </w:r>
      <w:r>
        <w:rPr>
          <w:rFonts w:hint="default" w:ascii="Times New Roman" w:hAnsi="Times New Roman" w:eastAsia="仿宋" w:cs="Times New Roman"/>
          <w:color w:val="auto"/>
          <w:spacing w:val="0"/>
          <w:w w:val="100"/>
          <w:sz w:val="24"/>
          <w:szCs w:val="24"/>
          <w:lang w:val="en-US" w:eastAsia="zh-CN"/>
        </w:rPr>
        <w:t>,工程施工建设扰动土地面积为</w:t>
      </w:r>
      <w:r>
        <w:rPr>
          <w:rFonts w:hint="eastAsia" w:ascii="Times New Roman" w:hAnsi="Times New Roman" w:eastAsia="仿宋" w:cs="Times New Roman"/>
          <w:color w:val="auto"/>
          <w:spacing w:val="0"/>
          <w:w w:val="100"/>
          <w:sz w:val="24"/>
          <w:szCs w:val="24"/>
          <w:lang w:val="en-US" w:eastAsia="zh-CN"/>
        </w:rPr>
        <w:t>1.56</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eastAsia="zh-CN"/>
        </w:rPr>
        <w:t>表</w:t>
      </w:r>
      <w:r>
        <w:rPr>
          <w:rFonts w:hint="default" w:ascii="Times New Roman" w:hAnsi="Times New Roman" w:eastAsia="仿宋" w:cs="Times New Roman"/>
          <w:color w:val="auto"/>
          <w:spacing w:val="0"/>
          <w:w w:val="100"/>
          <w:position w:val="0"/>
          <w:sz w:val="24"/>
          <w:szCs w:val="24"/>
          <w:lang w:val="en-US" w:eastAsia="zh-CN"/>
        </w:rPr>
        <w:t xml:space="preserve">3.1-2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防治责任范围监测表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11"/>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775"/>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项目</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方案值</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监测值</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增减</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77" w:type="dxa"/>
            <w:vMerge w:val="restart"/>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项目建设区</w:t>
            </w: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6"/>
                <w:rFonts w:hint="eastAsia" w:ascii="Times New Roman" w:hAnsi="Times New Roman" w:eastAsia="仿宋" w:cs="Times New Roman"/>
                <w:i w:val="0"/>
                <w:color w:val="auto"/>
                <w:sz w:val="21"/>
                <w:szCs w:val="21"/>
                <w:lang w:val="en-US" w:eastAsia="zh-CN" w:bidi="ar"/>
              </w:rPr>
              <w:t>建构筑物区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0.65</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0.65</w:t>
            </w:r>
          </w:p>
        </w:tc>
        <w:tc>
          <w:tcPr>
            <w:tcW w:w="1576" w:type="dxa"/>
            <w:vAlign w:val="top"/>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6"/>
                <w:rFonts w:hint="eastAsia" w:ascii="Times New Roman" w:hAnsi="Times New Roman" w:eastAsia="仿宋" w:cs="Times New Roman"/>
                <w:i w:val="0"/>
                <w:color w:val="auto"/>
                <w:sz w:val="21"/>
                <w:szCs w:val="21"/>
                <w:lang w:val="en-US" w:eastAsia="zh-CN" w:bidi="ar"/>
              </w:rPr>
              <w:t>道路绿化区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0.91</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0.91</w:t>
            </w:r>
          </w:p>
        </w:tc>
        <w:tc>
          <w:tcPr>
            <w:tcW w:w="1576" w:type="dxa"/>
            <w:vAlign w:val="top"/>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6"/>
                <w:rFonts w:hint="eastAsia" w:ascii="Times New Roman" w:hAnsi="Times New Roman" w:eastAsia="仿宋" w:cs="Times New Roman"/>
                <w:i w:val="0"/>
                <w:color w:val="auto"/>
                <w:sz w:val="21"/>
                <w:szCs w:val="21"/>
                <w:lang w:val="en-US" w:eastAsia="zh-CN" w:bidi="ar"/>
              </w:rPr>
              <w:t>施工生产生活区</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（0.03）</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p>
        </w:tc>
        <w:tc>
          <w:tcPr>
            <w:tcW w:w="1576" w:type="dxa"/>
            <w:vAlign w:val="top"/>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-0.03</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合  计</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1.56</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1.56</w:t>
            </w:r>
          </w:p>
        </w:tc>
        <w:tc>
          <w:tcPr>
            <w:tcW w:w="1576"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1.56</w:t>
            </w:r>
          </w:p>
        </w:tc>
        <w:tc>
          <w:tcPr>
            <w:tcW w:w="1576" w:type="dxa"/>
            <w:vAlign w:val="center"/>
          </w:tcPr>
          <w:p>
            <w:pPr>
              <w:numPr>
                <w:ilvl w:val="0"/>
                <w:numId w:val="0"/>
              </w:numPr>
              <w:spacing w:before="0" w:after="0" w:line="318" w:lineRule="exact"/>
              <w:ind w:right="-20" w:rightChars="0"/>
              <w:jc w:val="center"/>
              <w:rPr>
                <w:rFonts w:hint="default" w:ascii="Times New Roman" w:hAnsi="Times New Roman" w:eastAsia="仿宋" w:cs="Times New Roman"/>
                <w:color w:val="auto"/>
                <w:spacing w:val="0"/>
                <w:w w:val="100"/>
                <w:position w:val="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auto"/>
          <w:spacing w:val="3"/>
          <w:w w:val="100"/>
          <w:sz w:val="24"/>
          <w:szCs w:val="24"/>
          <w:lang w:val="en-US" w:eastAsia="zh-CN"/>
        </w:rPr>
      </w:pPr>
      <w:r>
        <w:rPr>
          <w:rFonts w:hint="default" w:ascii="Times New Roman" w:hAnsi="Times New Roman" w:eastAsia="仿宋" w:cs="Times New Roman"/>
          <w:color w:val="auto"/>
          <w:spacing w:val="3"/>
          <w:w w:val="100"/>
          <w:sz w:val="24"/>
          <w:szCs w:val="24"/>
          <w:lang w:val="en-US" w:eastAsia="zh-CN"/>
        </w:rPr>
        <w:t>c)变化情况及原因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实际施工与方案中的水土流失防治责任范围存在一定的变化。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1、项目建设区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（1）建构筑物区已按照水土保持设计施工，未发生变化；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（2）道路绿化区已按照水土保持设计施工，未发生变化；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在实际施工过程中，施工单位严格控制扰动范围，未对周边产生较大水土流失影响，无直接影响区</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3.1.2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工程于201</w:t>
      </w:r>
      <w:r>
        <w:rPr>
          <w:rFonts w:hint="eastAsia" w:ascii="Times New Roman" w:hAnsi="Times New Roman" w:eastAsia="仿宋" w:cs="Times New Roman"/>
          <w:color w:val="auto"/>
          <w:spacing w:val="0"/>
          <w:w w:val="100"/>
          <w:position w:val="-2"/>
          <w:sz w:val="24"/>
          <w:szCs w:val="24"/>
          <w:lang w:val="en-US" w:eastAsia="zh-CN"/>
        </w:rPr>
        <w:t>9</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月开工，此前项目区的水土流失状况引用水土保持方案报告调查数据，项目区无明显的水土流失现象，平均土壤侵蚀模数约在500t/（km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3.1.3</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根据现场调查监测分析，</w:t>
      </w:r>
      <w:r>
        <w:rPr>
          <w:rFonts w:hint="eastAsia" w:ascii="Times New Roman" w:hAnsi="Times New Roman" w:eastAsia="仿宋" w:cs="Times New Roman"/>
          <w:color w:val="auto"/>
          <w:spacing w:val="0"/>
          <w:w w:val="100"/>
          <w:position w:val="-2"/>
          <w:sz w:val="24"/>
          <w:szCs w:val="24"/>
          <w:lang w:val="en-US" w:eastAsia="zh-CN"/>
        </w:rPr>
        <w:t>三江侗天宫景区项目</w:t>
      </w:r>
      <w:r>
        <w:rPr>
          <w:rFonts w:hint="default" w:ascii="Times New Roman" w:hAnsi="Times New Roman" w:eastAsia="仿宋" w:cs="Times New Roman"/>
          <w:color w:val="auto"/>
          <w:spacing w:val="0"/>
          <w:w w:val="100"/>
          <w:position w:val="-2"/>
          <w:sz w:val="24"/>
          <w:szCs w:val="24"/>
          <w:lang w:val="en-US" w:eastAsia="zh-CN"/>
        </w:rPr>
        <w:t>累计扰动原地貌、损坏土地和植被总面积为</w:t>
      </w:r>
      <w:r>
        <w:rPr>
          <w:rFonts w:hint="eastAsia" w:ascii="Times New Roman" w:hAnsi="Times New Roman" w:eastAsia="仿宋" w:cs="Times New Roman"/>
          <w:color w:val="auto"/>
          <w:spacing w:val="0"/>
          <w:w w:val="100"/>
          <w:position w:val="-2"/>
          <w:sz w:val="24"/>
          <w:szCs w:val="24"/>
          <w:lang w:val="en-US" w:eastAsia="zh-CN"/>
        </w:rPr>
        <w:t>1.56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。其中永久征地面积为</w:t>
      </w:r>
      <w:r>
        <w:rPr>
          <w:rFonts w:hint="eastAsia" w:ascii="Times New Roman" w:hAnsi="Times New Roman" w:eastAsia="仿宋" w:cs="Times New Roman"/>
          <w:color w:val="auto"/>
          <w:spacing w:val="0"/>
          <w:w w:val="100"/>
          <w:position w:val="-2"/>
          <w:sz w:val="24"/>
          <w:szCs w:val="24"/>
          <w:lang w:val="en-US" w:eastAsia="zh-CN"/>
        </w:rPr>
        <w:t>1.56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，占地类型主要是林地和草地。工程扰动面积监测情况如表 3.1-5。</w:t>
      </w:r>
    </w:p>
    <w:p>
      <w:pPr>
        <w:numPr>
          <w:ilvl w:val="0"/>
          <w:numId w:val="0"/>
        </w:numPr>
        <w:spacing w:before="0" w:after="0" w:line="318" w:lineRule="exact"/>
        <w:ind w:right="-20" w:rightChars="0"/>
        <w:jc w:val="left"/>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表 3.1-5</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工程扰动面积监测情况</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1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580"/>
        <w:gridCol w:w="1841"/>
        <w:gridCol w:w="165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7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名称</w:t>
            </w:r>
          </w:p>
        </w:tc>
        <w:tc>
          <w:tcPr>
            <w:tcW w:w="2580"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分区</w:t>
            </w:r>
          </w:p>
        </w:tc>
        <w:tc>
          <w:tcPr>
            <w:tcW w:w="184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永久占地</w:t>
            </w:r>
          </w:p>
        </w:tc>
        <w:tc>
          <w:tcPr>
            <w:tcW w:w="1654"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临时占地</w:t>
            </w:r>
          </w:p>
        </w:tc>
        <w:tc>
          <w:tcPr>
            <w:tcW w:w="17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76" w:type="dxa"/>
            <w:vMerge w:val="restart"/>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w:t>
            </w: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Fonts w:hint="eastAsia" w:ascii="Times New Roman" w:hAnsi="Times New Roman" w:eastAsia="仿宋" w:cs="Times New Roman"/>
                <w:i w:val="0"/>
                <w:color w:val="auto"/>
                <w:kern w:val="2"/>
                <w:sz w:val="21"/>
                <w:szCs w:val="21"/>
                <w:u w:val="none"/>
                <w:lang w:val="en-US" w:eastAsia="zh-CN" w:bidi="ar"/>
              </w:rPr>
              <w:t>建构筑物区</w:t>
            </w:r>
          </w:p>
        </w:tc>
        <w:tc>
          <w:tcPr>
            <w:tcW w:w="1841"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0"/>
                <w:sz w:val="21"/>
                <w:szCs w:val="21"/>
                <w:vertAlign w:val="baseline"/>
                <w:lang w:val="en-US" w:eastAsia="zh-CN" w:bidi="ar-SA"/>
              </w:rPr>
            </w:pPr>
            <w:r>
              <w:rPr>
                <w:rFonts w:hint="eastAsia" w:ascii="Times New Roman" w:hAnsi="Times New Roman" w:eastAsia="仿宋" w:cs="Times New Roman"/>
                <w:color w:val="auto"/>
                <w:spacing w:val="0"/>
                <w:w w:val="100"/>
                <w:kern w:val="2"/>
                <w:position w:val="0"/>
                <w:sz w:val="21"/>
                <w:szCs w:val="21"/>
                <w:vertAlign w:val="baseline"/>
                <w:lang w:val="en-US" w:eastAsia="zh-CN" w:bidi="ar-SA"/>
              </w:rPr>
              <w:t>0.65</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p>
        </w:tc>
        <w:tc>
          <w:tcPr>
            <w:tcW w:w="1772"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kern w:val="2"/>
                <w:position w:val="0"/>
                <w:sz w:val="21"/>
                <w:szCs w:val="21"/>
                <w:vertAlign w:val="baseline"/>
                <w:lang w:val="en-US" w:eastAsia="zh-CN" w:bidi="ar-SA"/>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Fonts w:hint="eastAsia" w:ascii="Times New Roman" w:hAnsi="Times New Roman" w:eastAsia="仿宋" w:cs="Times New Roman"/>
                <w:i w:val="0"/>
                <w:color w:val="auto"/>
                <w:kern w:val="2"/>
                <w:sz w:val="21"/>
                <w:szCs w:val="21"/>
                <w:u w:val="none"/>
                <w:lang w:val="en-US" w:eastAsia="zh-CN" w:bidi="ar"/>
              </w:rPr>
              <w:t>道路绿化区</w:t>
            </w:r>
          </w:p>
        </w:tc>
        <w:tc>
          <w:tcPr>
            <w:tcW w:w="1841"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0"/>
                <w:sz w:val="21"/>
                <w:szCs w:val="21"/>
                <w:vertAlign w:val="baseline"/>
                <w:lang w:val="en-US" w:eastAsia="zh-CN" w:bidi="ar-SA"/>
              </w:rPr>
            </w:pPr>
            <w:r>
              <w:rPr>
                <w:rFonts w:hint="eastAsia" w:ascii="Times New Roman" w:hAnsi="Times New Roman" w:eastAsia="仿宋" w:cs="Times New Roman"/>
                <w:color w:val="auto"/>
                <w:spacing w:val="0"/>
                <w:w w:val="100"/>
                <w:kern w:val="2"/>
                <w:position w:val="0"/>
                <w:sz w:val="21"/>
                <w:szCs w:val="21"/>
                <w:vertAlign w:val="baseline"/>
                <w:lang w:val="en-US" w:eastAsia="zh-CN" w:bidi="ar-SA"/>
              </w:rPr>
              <w:t>0.91</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p>
        </w:tc>
        <w:tc>
          <w:tcPr>
            <w:tcW w:w="1772"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kern w:val="2"/>
                <w:position w:val="0"/>
                <w:sz w:val="21"/>
                <w:szCs w:val="21"/>
                <w:vertAlign w:val="baseline"/>
                <w:lang w:val="en-US" w:eastAsia="zh-CN" w:bidi="ar-SA"/>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6" w:type="dxa"/>
            <w:gridSpan w:val="2"/>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合计</w:t>
            </w:r>
          </w:p>
        </w:tc>
        <w:tc>
          <w:tcPr>
            <w:tcW w:w="1841"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1.56</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1.56</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6" w:name="_Toc31732"/>
      <w:bookmarkStart w:id="27" w:name="_Toc30447"/>
      <w:r>
        <w:rPr>
          <w:rFonts w:hint="default" w:ascii="Times New Roman" w:hAnsi="Times New Roman" w:eastAsia="仿宋" w:cs="Times New Roman"/>
          <w:b/>
          <w:bCs/>
          <w:color w:val="auto"/>
          <w:spacing w:val="0"/>
          <w:w w:val="100"/>
          <w:position w:val="-2"/>
          <w:sz w:val="30"/>
          <w:szCs w:val="30"/>
          <w:lang w:val="en-US" w:eastAsia="zh-CN"/>
        </w:rPr>
        <w:t xml:space="preserve">3.2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取料监测结果</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水土保持方案中，</w:t>
      </w:r>
      <w:r>
        <w:rPr>
          <w:rFonts w:hint="eastAsia" w:ascii="Times New Roman" w:hAnsi="Times New Roman" w:eastAsia="仿宋" w:cs="Times New Roman"/>
          <w:color w:val="auto"/>
          <w:spacing w:val="0"/>
          <w:w w:val="100"/>
          <w:position w:val="-2"/>
          <w:sz w:val="24"/>
          <w:szCs w:val="24"/>
          <w:lang w:val="en-US" w:eastAsia="zh-CN"/>
        </w:rPr>
        <w:t>工程未设置取料场。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实际情况取土场与水土保持方案数据基本一致</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实际取料场情况与水土保持方案规划</w:t>
      </w:r>
      <w:r>
        <w:rPr>
          <w:rFonts w:hint="eastAsia" w:ascii="Times New Roman" w:hAnsi="Times New Roman" w:eastAsia="仿宋" w:cs="Times New Roman"/>
          <w:color w:val="auto"/>
          <w:spacing w:val="0"/>
          <w:w w:val="100"/>
          <w:position w:val="-2"/>
          <w:sz w:val="24"/>
          <w:szCs w:val="24"/>
          <w:lang w:val="en-US" w:eastAsia="zh-CN"/>
        </w:rPr>
        <w:t>基本</w:t>
      </w:r>
      <w:r>
        <w:rPr>
          <w:rFonts w:hint="default" w:ascii="Times New Roman" w:hAnsi="Times New Roman" w:eastAsia="仿宋" w:cs="Times New Roman"/>
          <w:color w:val="auto"/>
          <w:spacing w:val="0"/>
          <w:w w:val="100"/>
          <w:position w:val="-2"/>
          <w:sz w:val="24"/>
          <w:szCs w:val="24"/>
          <w:lang w:val="en-US" w:eastAsia="zh-CN"/>
        </w:rPr>
        <w:t>一致。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8" w:name="_Toc32678"/>
      <w:bookmarkStart w:id="29" w:name="_Toc21045"/>
      <w:r>
        <w:rPr>
          <w:rFonts w:hint="default" w:ascii="Times New Roman" w:hAnsi="Times New Roman" w:eastAsia="仿宋" w:cs="Times New Roman"/>
          <w:b/>
          <w:bCs/>
          <w:color w:val="auto"/>
          <w:spacing w:val="0"/>
          <w:w w:val="100"/>
          <w:position w:val="-2"/>
          <w:sz w:val="30"/>
          <w:szCs w:val="30"/>
          <w:lang w:val="en-US" w:eastAsia="zh-CN"/>
        </w:rPr>
        <w:t xml:space="preserve">3.3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弃渣监测结果</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3.3.1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eastAsia" w:ascii="Times New Roman" w:hAnsi="Times New Roman" w:eastAsia="仿宋" w:cs="Times New Roman"/>
          <w:color w:val="auto"/>
          <w:sz w:val="24"/>
          <w:szCs w:val="24"/>
          <w:lang w:eastAsia="zh-CN"/>
        </w:rPr>
        <w:t>本工程实际施工未设置弃渣场</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施工过程中，余方全部填埋、堆垫于</w:t>
      </w:r>
      <w:r>
        <w:rPr>
          <w:rFonts w:hint="eastAsia" w:ascii="Times New Roman" w:hAnsi="Times New Roman" w:eastAsia="仿宋" w:cs="Times New Roman"/>
          <w:color w:val="auto"/>
          <w:spacing w:val="0"/>
          <w:w w:val="100"/>
          <w:position w:val="-2"/>
          <w:sz w:val="24"/>
          <w:szCs w:val="24"/>
          <w:lang w:val="en-US" w:eastAsia="zh-CN"/>
        </w:rPr>
        <w:t>路面</w:t>
      </w:r>
      <w:r>
        <w:rPr>
          <w:rFonts w:hint="default" w:ascii="Times New Roman" w:hAnsi="Times New Roman" w:eastAsia="仿宋" w:cs="Times New Roman"/>
          <w:color w:val="auto"/>
          <w:spacing w:val="0"/>
          <w:w w:val="100"/>
          <w:position w:val="-2"/>
          <w:sz w:val="24"/>
          <w:szCs w:val="24"/>
          <w:lang w:val="en-US" w:eastAsia="zh-CN"/>
        </w:rPr>
        <w:t>、检修道路和施工道路平整，并将表土覆盖于平整后的地表，最后采取绿化措施恢复植被，无新增弃渣用地</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0" w:name="_Toc14206"/>
      <w:bookmarkStart w:id="31" w:name="_Toc31149"/>
      <w:r>
        <w:rPr>
          <w:rFonts w:hint="default" w:ascii="Times New Roman" w:hAnsi="Times New Roman" w:eastAsia="仿宋" w:cs="Times New Roman"/>
          <w:b/>
          <w:bCs/>
          <w:color w:val="auto"/>
          <w:spacing w:val="0"/>
          <w:w w:val="100"/>
          <w:position w:val="-2"/>
          <w:sz w:val="30"/>
          <w:szCs w:val="30"/>
          <w:lang w:val="en-US" w:eastAsia="zh-CN"/>
        </w:rPr>
        <w:t>3.4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土石方流向情况监测结果</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本项目土石方挖方总量为1.48万m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；填方总量为1.48万m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；无弃方。本项目土石方均换算为自然方。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2" w:name="_Toc5624"/>
      <w:bookmarkStart w:id="33" w:name="_Toc15363"/>
      <w:r>
        <w:rPr>
          <w:rFonts w:hint="default" w:ascii="Times New Roman" w:hAnsi="Times New Roman" w:eastAsia="仿宋" w:cs="Times New Roman"/>
          <w:b/>
          <w:bCs/>
          <w:color w:val="auto"/>
          <w:spacing w:val="0"/>
          <w:w w:val="100"/>
          <w:position w:val="-2"/>
          <w:sz w:val="30"/>
          <w:szCs w:val="30"/>
          <w:lang w:val="en-US" w:eastAsia="zh-CN"/>
        </w:rPr>
        <w:t>3.5</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其他重点部位监测结果</w:t>
      </w:r>
      <w:bookmarkEnd w:id="32"/>
      <w:bookmarkEnd w:id="33"/>
    </w:p>
    <w:p>
      <w:pPr>
        <w:numPr>
          <w:ilvl w:val="0"/>
          <w:numId w:val="0"/>
        </w:numPr>
        <w:spacing w:before="0" w:after="0" w:line="322" w:lineRule="auto"/>
        <w:ind w:right="84" w:rightChars="0" w:firstLine="480" w:firstLineChars="20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color w:val="auto"/>
          <w:spacing w:val="0"/>
          <w:w w:val="100"/>
          <w:position w:val="-2"/>
          <w:sz w:val="24"/>
          <w:szCs w:val="24"/>
          <w:lang w:val="en-US" w:eastAsia="zh-CN"/>
        </w:rPr>
        <w:t>工程未涉及大型开挖、填筑坡面等其他需要重点监测部位。</w:t>
      </w:r>
    </w:p>
    <w:p>
      <w:pPr>
        <w:rPr>
          <w:rFonts w:hint="default" w:ascii="Times New Roman" w:hAnsi="Times New Roman" w:eastAsia="仿宋" w:cs="Times New Roman"/>
          <w:b/>
          <w:bCs/>
          <w:color w:val="auto"/>
          <w:spacing w:val="0"/>
          <w:w w:val="100"/>
          <w:position w:val="-2"/>
          <w:sz w:val="32"/>
          <w:szCs w:val="32"/>
          <w:lang w:val="en-US" w:eastAsia="zh-CN"/>
        </w:rPr>
      </w:pPr>
      <w:bookmarkStart w:id="34" w:name="_Toc5349"/>
      <w:bookmarkStart w:id="35" w:name="_Toc1094"/>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t>4</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水土流失防治措施监测结果</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工程主要按建构筑物区、道路绿化区、等</w:t>
      </w:r>
      <w:r>
        <w:rPr>
          <w:rFonts w:hint="eastAsia" w:ascii="Times New Roman" w:hAnsi="Times New Roman" w:eastAsia="仿宋" w:cs="Times New Roman"/>
          <w:color w:val="auto"/>
          <w:spacing w:val="0"/>
          <w:w w:val="100"/>
          <w:position w:val="-2"/>
          <w:sz w:val="24"/>
          <w:szCs w:val="24"/>
          <w:lang w:val="en-US" w:eastAsia="zh-CN"/>
        </w:rPr>
        <w:t>2</w:t>
      </w:r>
      <w:r>
        <w:rPr>
          <w:rFonts w:hint="default" w:ascii="Times New Roman" w:hAnsi="Times New Roman" w:eastAsia="仿宋" w:cs="Times New Roman"/>
          <w:color w:val="auto"/>
          <w:spacing w:val="0"/>
          <w:w w:val="100"/>
          <w:position w:val="-2"/>
          <w:sz w:val="24"/>
          <w:szCs w:val="24"/>
          <w:lang w:val="en-US" w:eastAsia="zh-CN"/>
        </w:rPr>
        <w:t>个防治分区进行措施布设，水土保持体系见表4-1.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分区防治措施总体布局表</w:t>
      </w:r>
    </w:p>
    <w:tbl>
      <w:tblPr>
        <w:tblStyle w:val="11"/>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25"/>
        <w:gridCol w:w="6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625"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防治分区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62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建构筑物区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雨水管网、彩条布覆盖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262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道路绿化区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雨水管网、雨水检查井、绿化覆土、铺透水砖、景观绿化、彩条布覆盖、临时砖砌排水沟、砖砌沉砂池</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6" w:name="_Toc990"/>
      <w:bookmarkStart w:id="37" w:name="_Toc4412"/>
      <w:r>
        <w:rPr>
          <w:rFonts w:hint="default" w:ascii="Times New Roman" w:hAnsi="Times New Roman" w:eastAsia="仿宋" w:cs="Times New Roman"/>
          <w:b/>
          <w:bCs/>
          <w:color w:val="auto"/>
          <w:spacing w:val="0"/>
          <w:w w:val="100"/>
          <w:position w:val="-2"/>
          <w:sz w:val="30"/>
          <w:szCs w:val="30"/>
          <w:lang w:val="en-US" w:eastAsia="zh-CN"/>
        </w:rPr>
        <w:t>4.1</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工程措施监测结果</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水土保持工程措施设计实施进度要求与主体工程建设进度同步实施。本项目主体工程于20</w:t>
      </w:r>
      <w:r>
        <w:rPr>
          <w:rFonts w:hint="eastAsia" w:ascii="Times New Roman" w:hAnsi="Times New Roman" w:eastAsia="仿宋" w:cs="Times New Roman"/>
          <w:color w:val="auto"/>
          <w:spacing w:val="0"/>
          <w:w w:val="100"/>
          <w:position w:val="-2"/>
          <w:sz w:val="24"/>
          <w:szCs w:val="24"/>
          <w:lang w:val="en-US" w:eastAsia="zh-CN"/>
        </w:rPr>
        <w:t>19</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月开始施工，20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月建设完成，水土保持工程措施于20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月基本建设完成，实际实施的水土保持工程措施水土保持工程措施实际实施进度基本与主体工程“三同时”。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通过现场监测及查阅相关资料统计，工程水土保持工程设施采取的措施主要有雨水管网、绿化覆土</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雨水检查井、</w:t>
      </w:r>
      <w:r>
        <w:rPr>
          <w:rFonts w:hint="eastAsia" w:ascii="Times New Roman" w:hAnsi="Times New Roman" w:eastAsia="仿宋" w:cs="Times New Roman"/>
          <w:color w:val="auto"/>
          <w:spacing w:val="0"/>
          <w:w w:val="100"/>
          <w:position w:val="-2"/>
          <w:sz w:val="24"/>
          <w:szCs w:val="24"/>
          <w:lang w:val="en-US" w:eastAsia="zh-CN"/>
        </w:rPr>
        <w:t>铺透水砖。</w:t>
      </w:r>
      <w:r>
        <w:rPr>
          <w:rFonts w:hint="default" w:ascii="Times New Roman" w:hAnsi="Times New Roman" w:eastAsia="仿宋" w:cs="Times New Roman"/>
          <w:color w:val="auto"/>
          <w:spacing w:val="0"/>
          <w:w w:val="100"/>
          <w:position w:val="-2"/>
          <w:sz w:val="24"/>
          <w:szCs w:val="24"/>
          <w:lang w:val="en-US" w:eastAsia="zh-CN"/>
        </w:rPr>
        <w:t>完成的工程量包括雨水管网</w:t>
      </w:r>
      <w:r>
        <w:rPr>
          <w:rFonts w:hint="eastAsia" w:ascii="Times New Roman" w:hAnsi="Times New Roman" w:eastAsia="仿宋" w:cs="Times New Roman"/>
          <w:color w:val="auto"/>
          <w:spacing w:val="0"/>
          <w:w w:val="100"/>
          <w:position w:val="-2"/>
          <w:sz w:val="24"/>
          <w:szCs w:val="24"/>
          <w:lang w:val="en-US" w:eastAsia="zh-CN"/>
        </w:rPr>
        <w:t>1093m</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雨水检查井7个、绿化覆土1026m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、铺透水砖307m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完成设施工</w:t>
      </w:r>
      <w:r>
        <w:rPr>
          <w:rFonts w:hint="eastAsia" w:ascii="Times New Roman" w:hAnsi="Times New Roman" w:eastAsia="仿宋" w:cs="Times New Roman"/>
          <w:color w:val="auto"/>
          <w:spacing w:val="0"/>
          <w:w w:val="100"/>
          <w:position w:val="-2"/>
          <w:sz w:val="24"/>
          <w:szCs w:val="24"/>
          <w:lang w:val="en-US" w:eastAsia="zh-CN"/>
        </w:rPr>
        <w:t>程</w:t>
      </w:r>
      <w:r>
        <w:rPr>
          <w:rFonts w:hint="default" w:ascii="Times New Roman" w:hAnsi="Times New Roman" w:eastAsia="仿宋" w:cs="Times New Roman"/>
          <w:color w:val="auto"/>
          <w:spacing w:val="0"/>
          <w:w w:val="100"/>
          <w:position w:val="-2"/>
          <w:sz w:val="24"/>
          <w:szCs w:val="24"/>
          <w:lang w:val="en-US" w:eastAsia="zh-CN"/>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水土保持工程设施工程量统计表</w:t>
      </w:r>
    </w:p>
    <w:tbl>
      <w:tblPr>
        <w:tblStyle w:val="11"/>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505"/>
        <w:gridCol w:w="1891"/>
        <w:gridCol w:w="189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编号</w:t>
            </w:r>
          </w:p>
        </w:tc>
        <w:tc>
          <w:tcPr>
            <w:tcW w:w="2505"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措施名称</w:t>
            </w:r>
          </w:p>
        </w:tc>
        <w:tc>
          <w:tcPr>
            <w:tcW w:w="1891"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单位</w:t>
            </w:r>
          </w:p>
        </w:tc>
        <w:tc>
          <w:tcPr>
            <w:tcW w:w="1891"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完成工程量</w:t>
            </w:r>
          </w:p>
        </w:tc>
        <w:tc>
          <w:tcPr>
            <w:tcW w:w="167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2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250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建构筑物区</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6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50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雨水管网</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m</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358</w:t>
            </w:r>
          </w:p>
        </w:tc>
        <w:tc>
          <w:tcPr>
            <w:tcW w:w="16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250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道路绿化区</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6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50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雨水管网</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m</w:t>
            </w:r>
            <w:r>
              <w:rPr>
                <w:rFonts w:hint="default" w:ascii="Times New Roman" w:hAnsi="Times New Roman" w:eastAsia="仿宋" w:cs="Times New Roman"/>
                <w:color w:val="auto"/>
                <w:spacing w:val="0"/>
                <w:w w:val="100"/>
                <w:position w:val="-2"/>
                <w:sz w:val="21"/>
                <w:szCs w:val="21"/>
                <w:vertAlign w:val="superscript"/>
                <w:lang w:val="en-US" w:eastAsia="zh-CN"/>
              </w:rPr>
              <w:t>3</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735</w:t>
            </w:r>
          </w:p>
        </w:tc>
        <w:tc>
          <w:tcPr>
            <w:tcW w:w="16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50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雨水检查井</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个</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7</w:t>
            </w:r>
          </w:p>
        </w:tc>
        <w:tc>
          <w:tcPr>
            <w:tcW w:w="16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w:t>
            </w:r>
          </w:p>
        </w:tc>
        <w:tc>
          <w:tcPr>
            <w:tcW w:w="250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绿化覆土</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m</w:t>
            </w:r>
            <w:r>
              <w:rPr>
                <w:rFonts w:hint="default" w:ascii="Times New Roman" w:hAnsi="Times New Roman" w:eastAsia="仿宋" w:cs="Times New Roman"/>
                <w:color w:val="auto"/>
                <w:spacing w:val="0"/>
                <w:w w:val="100"/>
                <w:position w:val="-2"/>
                <w:sz w:val="21"/>
                <w:szCs w:val="21"/>
                <w:vertAlign w:val="superscript"/>
                <w:lang w:val="en-US" w:eastAsia="zh-CN"/>
              </w:rPr>
              <w:t>3</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1026</w:t>
            </w:r>
          </w:p>
        </w:tc>
        <w:tc>
          <w:tcPr>
            <w:tcW w:w="16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4</w:t>
            </w:r>
          </w:p>
        </w:tc>
        <w:tc>
          <w:tcPr>
            <w:tcW w:w="250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铺透水砖</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m</w:t>
            </w:r>
            <w:r>
              <w:rPr>
                <w:rFonts w:hint="eastAsia" w:ascii="Times New Roman" w:hAnsi="Times New Roman" w:eastAsia="仿宋" w:cs="Times New Roman"/>
                <w:color w:val="auto"/>
                <w:spacing w:val="0"/>
                <w:w w:val="100"/>
                <w:position w:val="-2"/>
                <w:sz w:val="21"/>
                <w:szCs w:val="21"/>
                <w:vertAlign w:val="superscript"/>
                <w:lang w:val="en-US" w:eastAsia="zh-CN"/>
              </w:rPr>
              <w:t>2</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307</w:t>
            </w:r>
          </w:p>
        </w:tc>
        <w:tc>
          <w:tcPr>
            <w:tcW w:w="16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各防治区工程措施完成情况如下：</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建构筑物区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雨水管网358m。</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道路绿化区雨水管网735m，雨水检查井7个、绿化覆土1026m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、铺透水砖307m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8" w:name="_Toc32291"/>
      <w:bookmarkStart w:id="39" w:name="_Toc17291"/>
      <w:r>
        <w:rPr>
          <w:rFonts w:hint="default" w:ascii="Times New Roman" w:hAnsi="Times New Roman" w:eastAsia="仿宋" w:cs="Times New Roman"/>
          <w:b/>
          <w:bCs/>
          <w:color w:val="auto"/>
          <w:spacing w:val="0"/>
          <w:w w:val="100"/>
          <w:position w:val="-2"/>
          <w:sz w:val="30"/>
          <w:szCs w:val="30"/>
          <w:lang w:val="en-US" w:eastAsia="zh-CN"/>
        </w:rPr>
        <w:t>4.2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植物措施监测结果</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水土保持工程措施设计实施进度要求与主体工程建设进度同步实施。本项目主体工程于201</w:t>
      </w:r>
      <w:r>
        <w:rPr>
          <w:rFonts w:hint="eastAsia" w:ascii="Times New Roman" w:hAnsi="Times New Roman" w:eastAsia="仿宋" w:cs="Times New Roman"/>
          <w:color w:val="auto"/>
          <w:spacing w:val="0"/>
          <w:w w:val="100"/>
          <w:position w:val="-2"/>
          <w:sz w:val="24"/>
          <w:szCs w:val="24"/>
          <w:lang w:val="en-US" w:eastAsia="zh-CN"/>
        </w:rPr>
        <w:t>9</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月开始施工，20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月建设完成，水土保持植物措施于20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月基本建设完成，实际实施的水土保持植物措施水土保持工程措施实际实施进度基本与主体工程“三同时”。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通过现场监测及查阅相关资料统计，工程主要水土保持植物设施采取的措施主要有在</w:t>
      </w:r>
      <w:r>
        <w:rPr>
          <w:rFonts w:hint="eastAsia" w:ascii="Times New Roman" w:hAnsi="Times New Roman" w:eastAsia="仿宋" w:cs="Times New Roman"/>
          <w:color w:val="auto"/>
          <w:spacing w:val="0"/>
          <w:w w:val="100"/>
          <w:position w:val="-2"/>
          <w:sz w:val="24"/>
          <w:szCs w:val="24"/>
          <w:lang w:val="en-US" w:eastAsia="zh-CN"/>
        </w:rPr>
        <w:t>景观绿化</w:t>
      </w:r>
      <w:r>
        <w:rPr>
          <w:rFonts w:hint="default" w:ascii="Times New Roman" w:hAnsi="Times New Roman" w:eastAsia="仿宋" w:cs="Times New Roman"/>
          <w:color w:val="auto"/>
          <w:spacing w:val="0"/>
          <w:w w:val="100"/>
          <w:position w:val="-2"/>
          <w:sz w:val="24"/>
          <w:szCs w:val="24"/>
          <w:lang w:val="en-US" w:eastAsia="zh-CN"/>
        </w:rPr>
        <w:t>。完成的植物设施包括</w:t>
      </w:r>
      <w:r>
        <w:rPr>
          <w:rFonts w:hint="eastAsia" w:ascii="Times New Roman" w:hAnsi="Times New Roman" w:eastAsia="仿宋" w:cs="Times New Roman"/>
          <w:color w:val="auto"/>
          <w:spacing w:val="0"/>
          <w:w w:val="100"/>
          <w:position w:val="-2"/>
          <w:sz w:val="24"/>
          <w:szCs w:val="24"/>
          <w:lang w:val="en-US" w:eastAsia="zh-CN"/>
        </w:rPr>
        <w:t>景观绿化3800m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水土保持植物设施工程量统计表</w:t>
      </w:r>
    </w:p>
    <w:tbl>
      <w:tblPr>
        <w:tblStyle w:val="11"/>
        <w:tblW w:w="7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2025"/>
        <w:gridCol w:w="1560"/>
        <w:gridCol w:w="153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025"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措施名称</w:t>
            </w:r>
          </w:p>
        </w:tc>
        <w:tc>
          <w:tcPr>
            <w:tcW w:w="1560"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单位</w:t>
            </w:r>
          </w:p>
        </w:tc>
        <w:tc>
          <w:tcPr>
            <w:tcW w:w="1530"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完成工程量</w:t>
            </w:r>
          </w:p>
        </w:tc>
        <w:tc>
          <w:tcPr>
            <w:tcW w:w="10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top"/>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202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道路绿化区</w:t>
            </w:r>
          </w:p>
        </w:tc>
        <w:tc>
          <w:tcPr>
            <w:tcW w:w="1560"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30"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0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9"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2025"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景观绿化</w:t>
            </w:r>
          </w:p>
        </w:tc>
        <w:tc>
          <w:tcPr>
            <w:tcW w:w="1560"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m²</w:t>
            </w:r>
          </w:p>
        </w:tc>
        <w:tc>
          <w:tcPr>
            <w:tcW w:w="1530" w:type="dxa"/>
            <w:vAlign w:val="bottom"/>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3800</w:t>
            </w:r>
          </w:p>
        </w:tc>
        <w:tc>
          <w:tcPr>
            <w:tcW w:w="10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各防治区植物措施完成情况如下;</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道路绿化区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景观绿化3800m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0" w:name="_Toc16829"/>
      <w:bookmarkStart w:id="41" w:name="_Toc23156"/>
      <w:r>
        <w:rPr>
          <w:rFonts w:hint="default" w:ascii="Times New Roman" w:hAnsi="Times New Roman" w:eastAsia="仿宋" w:cs="Times New Roman"/>
          <w:b/>
          <w:bCs/>
          <w:color w:val="auto"/>
          <w:spacing w:val="0"/>
          <w:w w:val="100"/>
          <w:position w:val="-2"/>
          <w:sz w:val="30"/>
          <w:szCs w:val="30"/>
          <w:lang w:val="en-US" w:eastAsia="zh-CN"/>
        </w:rPr>
        <w:t>4.3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临时防治措施监测结果</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通过现场监测及查阅相关资料统计，工程主要水土保持临时设施在</w:t>
      </w:r>
      <w:r>
        <w:rPr>
          <w:rFonts w:hint="eastAsia" w:ascii="Times New Roman" w:hAnsi="Times New Roman" w:eastAsia="仿宋" w:cs="Times New Roman"/>
          <w:color w:val="auto"/>
          <w:spacing w:val="0"/>
          <w:w w:val="100"/>
          <w:position w:val="-2"/>
          <w:sz w:val="24"/>
          <w:szCs w:val="24"/>
          <w:lang w:val="en-US" w:eastAsia="zh-CN"/>
        </w:rPr>
        <w:t>2019</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月~</w:t>
      </w:r>
      <w:r>
        <w:rPr>
          <w:rFonts w:hint="eastAsia" w:ascii="Times New Roman" w:hAnsi="Times New Roman" w:eastAsia="仿宋" w:cs="Times New Roman"/>
          <w:color w:val="auto"/>
          <w:spacing w:val="0"/>
          <w:w w:val="100"/>
          <w:position w:val="-2"/>
          <w:sz w:val="24"/>
          <w:szCs w:val="24"/>
          <w:lang w:val="en-US" w:eastAsia="zh-CN"/>
        </w:rPr>
        <w:t>2020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月实施，</w:t>
      </w:r>
      <w:r>
        <w:rPr>
          <w:rFonts w:hint="eastAsia" w:ascii="Times New Roman" w:hAnsi="Times New Roman" w:eastAsia="仿宋" w:cs="Times New Roman"/>
          <w:color w:val="auto"/>
          <w:spacing w:val="0"/>
          <w:w w:val="100"/>
          <w:position w:val="-2"/>
          <w:sz w:val="24"/>
          <w:szCs w:val="24"/>
          <w:lang w:val="en-US" w:eastAsia="zh-CN"/>
        </w:rPr>
        <w:t>彩条布覆盖1200m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，临时砖砌排水沟300m，砖砌沉砂池3个</w:t>
      </w:r>
      <w:r>
        <w:rPr>
          <w:rFonts w:hint="default" w:ascii="Times New Roman" w:hAnsi="Times New Roman" w:eastAsia="仿宋" w:cs="Times New Roman"/>
          <w:color w:val="auto"/>
          <w:spacing w:val="0"/>
          <w:w w:val="100"/>
          <w:position w:val="-2"/>
          <w:sz w:val="24"/>
          <w:szCs w:val="24"/>
          <w:lang w:val="en-US" w:eastAsia="zh-CN"/>
        </w:rPr>
        <w:t>。主要临时防护措施详见表4-4 水土保持临时设施工程量统计表</w:t>
      </w:r>
      <w:r>
        <w:rPr>
          <w:rFonts w:hint="eastAsia" w:ascii="Times New Roman" w:hAnsi="Times New Roman" w:eastAsia="仿宋" w:cs="Times New Roman"/>
          <w:color w:val="auto"/>
          <w:spacing w:val="0"/>
          <w:w w:val="100"/>
          <w:position w:val="-2"/>
          <w:sz w:val="24"/>
          <w:szCs w:val="24"/>
          <w:lang w:val="en-US" w:eastAsia="zh-CN"/>
        </w:rPr>
        <w:t>。</w:t>
      </w:r>
    </w:p>
    <w:p>
      <w:pPr>
        <w:pStyle w:val="2"/>
        <w:ind w:firstLine="480" w:firstLineChars="200"/>
        <w:rPr>
          <w:rFonts w:hint="default"/>
          <w:color w:val="auto"/>
          <w:lang w:val="en-US" w:eastAsia="zh-CN"/>
        </w:rPr>
      </w:pPr>
      <w:r>
        <w:rPr>
          <w:rFonts w:hint="eastAsia" w:ascii="Times New Roman" w:hAnsi="Times New Roman" w:eastAsia="仿宋" w:cs="Times New Roman"/>
          <w:color w:val="auto"/>
          <w:spacing w:val="0"/>
          <w:w w:val="100"/>
          <w:position w:val="-2"/>
          <w:sz w:val="24"/>
          <w:szCs w:val="24"/>
          <w:lang w:val="en-US" w:eastAsia="zh-CN"/>
        </w:rPr>
        <w:t>表</w:t>
      </w:r>
      <w:r>
        <w:rPr>
          <w:rFonts w:hint="default" w:ascii="Times New Roman" w:hAnsi="Times New Roman" w:eastAsia="仿宋" w:cs="Times New Roman"/>
          <w:color w:val="auto"/>
          <w:spacing w:val="0"/>
          <w:w w:val="100"/>
          <w:position w:val="-2"/>
          <w:sz w:val="24"/>
          <w:szCs w:val="24"/>
          <w:lang w:val="en-US" w:eastAsia="zh-CN"/>
        </w:rPr>
        <w:t>4-</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 xml:space="preserve">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w:t>
      </w:r>
      <w:r>
        <w:rPr>
          <w:rFonts w:hint="eastAsia" w:ascii="Times New Roman" w:hAnsi="Times New Roman" w:eastAsia="仿宋" w:cs="Times New Roman"/>
          <w:color w:val="auto"/>
          <w:spacing w:val="0"/>
          <w:w w:val="100"/>
          <w:position w:val="-2"/>
          <w:sz w:val="24"/>
          <w:szCs w:val="24"/>
          <w:lang w:val="en-US" w:eastAsia="zh-CN"/>
        </w:rPr>
        <w:t>临时</w:t>
      </w:r>
      <w:r>
        <w:rPr>
          <w:rFonts w:hint="default" w:ascii="Times New Roman" w:hAnsi="Times New Roman" w:eastAsia="仿宋" w:cs="Times New Roman"/>
          <w:color w:val="auto"/>
          <w:spacing w:val="0"/>
          <w:w w:val="100"/>
          <w:position w:val="-2"/>
          <w:sz w:val="24"/>
          <w:szCs w:val="24"/>
          <w:lang w:val="en-US" w:eastAsia="zh-CN"/>
        </w:rPr>
        <w:t>设施工程量统计表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891"/>
        <w:gridCol w:w="1891"/>
        <w:gridCol w:w="189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措施名称</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单位</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完成工程量</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一</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建构筑物区</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彩条布覆盖</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m</w:t>
            </w:r>
            <w:r>
              <w:rPr>
                <w:rFonts w:hint="eastAsia" w:ascii="Times New Roman" w:hAnsi="Times New Roman" w:eastAsia="仿宋" w:cs="Times New Roman"/>
                <w:color w:val="auto"/>
                <w:spacing w:val="0"/>
                <w:w w:val="100"/>
                <w:position w:val="-2"/>
                <w:sz w:val="21"/>
                <w:szCs w:val="21"/>
                <w:vertAlign w:val="superscript"/>
                <w:lang w:val="en-US" w:eastAsia="zh-CN"/>
              </w:rPr>
              <w:t>2</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400</w:t>
            </w: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二</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道路绿化区</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临时砖砌排水沟</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m</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300</w:t>
            </w: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砖砌沉砂池</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个</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w:t>
            </w: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彩条布覆盖</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m</w:t>
            </w:r>
            <w:r>
              <w:rPr>
                <w:rFonts w:hint="eastAsia" w:ascii="Times New Roman" w:hAnsi="Times New Roman" w:eastAsia="仿宋" w:cs="Times New Roman"/>
                <w:color w:val="auto"/>
                <w:spacing w:val="0"/>
                <w:w w:val="100"/>
                <w:position w:val="-2"/>
                <w:sz w:val="21"/>
                <w:szCs w:val="21"/>
                <w:vertAlign w:val="superscript"/>
                <w:lang w:val="en-US" w:eastAsia="zh-CN"/>
              </w:rPr>
              <w:t>2</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800</w:t>
            </w: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w:t>
      </w:r>
      <w:r>
        <w:rPr>
          <w:rFonts w:hint="eastAsia" w:ascii="Times New Roman" w:hAnsi="Times New Roman" w:eastAsia="仿宋" w:cs="Times New Roman"/>
          <w:color w:val="auto"/>
          <w:spacing w:val="0"/>
          <w:w w:val="100"/>
          <w:position w:val="-2"/>
          <w:sz w:val="24"/>
          <w:szCs w:val="24"/>
          <w:lang w:val="en-US" w:eastAsia="zh-CN"/>
        </w:rPr>
        <w:t>临时</w:t>
      </w:r>
      <w:r>
        <w:rPr>
          <w:rFonts w:hint="default" w:ascii="Times New Roman" w:hAnsi="Times New Roman" w:eastAsia="仿宋" w:cs="Times New Roman"/>
          <w:color w:val="auto"/>
          <w:spacing w:val="0"/>
          <w:w w:val="100"/>
          <w:position w:val="-2"/>
          <w:sz w:val="24"/>
          <w:szCs w:val="24"/>
          <w:lang w:val="en-US" w:eastAsia="zh-CN"/>
        </w:rPr>
        <w:t>措施完成情况如下;</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建构筑物区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彩条布覆盖400m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道路绿化区：临时砖砌排水沟300m，砖砌沉砂池3个，彩条布覆盖3200m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2" w:name="_Toc26042"/>
      <w:bookmarkStart w:id="43" w:name="_Toc16915"/>
      <w:r>
        <w:rPr>
          <w:rFonts w:hint="default" w:ascii="Times New Roman" w:hAnsi="Times New Roman" w:eastAsia="仿宋" w:cs="Times New Roman"/>
          <w:b/>
          <w:bCs/>
          <w:color w:val="auto"/>
          <w:spacing w:val="0"/>
          <w:w w:val="100"/>
          <w:position w:val="-2"/>
          <w:sz w:val="30"/>
          <w:szCs w:val="30"/>
          <w:lang w:val="en-US" w:eastAsia="zh-CN"/>
        </w:rPr>
        <w:t>4.4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水土保持措施防治效果</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auto"/>
          <w:spacing w:val="0"/>
          <w:w w:val="100"/>
          <w:position w:val="-2"/>
          <w:sz w:val="24"/>
          <w:szCs w:val="24"/>
          <w:lang w:val="en-US" w:eastAsia="zh-CN"/>
        </w:rPr>
        <w:t>植被</w:t>
      </w:r>
      <w:r>
        <w:rPr>
          <w:rFonts w:hint="default" w:ascii="Times New Roman" w:hAnsi="Times New Roman" w:eastAsia="仿宋" w:cs="Times New Roman"/>
          <w:color w:val="auto"/>
          <w:spacing w:val="0"/>
          <w:w w:val="100"/>
          <w:position w:val="-2"/>
          <w:sz w:val="24"/>
          <w:szCs w:val="24"/>
          <w:lang w:val="en-US" w:eastAsia="zh-CN"/>
        </w:rPr>
        <w:t>的恢复，水土流失强度进一步减弱。各项水土保持设施基本稳定，</w:t>
      </w:r>
      <w:r>
        <w:rPr>
          <w:rFonts w:hint="eastAsia" w:ascii="Times New Roman" w:hAnsi="Times New Roman" w:eastAsia="仿宋" w:cs="Times New Roman"/>
          <w:color w:val="auto"/>
          <w:spacing w:val="0"/>
          <w:w w:val="100"/>
          <w:position w:val="-2"/>
          <w:sz w:val="24"/>
          <w:szCs w:val="24"/>
          <w:lang w:val="en-US" w:eastAsia="zh-CN"/>
        </w:rPr>
        <w:t>未</w:t>
      </w:r>
      <w:r>
        <w:rPr>
          <w:rFonts w:hint="default" w:ascii="Times New Roman" w:hAnsi="Times New Roman" w:eastAsia="仿宋" w:cs="Times New Roman"/>
          <w:color w:val="auto"/>
          <w:spacing w:val="0"/>
          <w:w w:val="100"/>
          <w:position w:val="-2"/>
          <w:sz w:val="24"/>
          <w:szCs w:val="24"/>
          <w:lang w:val="en-US" w:eastAsia="zh-CN"/>
        </w:rPr>
        <w:t>见设施损坏。整体而言，完成的水土保持设施项目及工程量存在一些变化，主要原因在于：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1</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实际施工过程中，土方开挖用于道路回填，未产生弃渣，故未启用弃渣场</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2"/>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表4-5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水土保持措施监测表</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525"/>
        <w:gridCol w:w="963"/>
        <w:gridCol w:w="1517"/>
        <w:gridCol w:w="1398"/>
        <w:gridCol w:w="110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94"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525"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措施名称</w:t>
            </w:r>
          </w:p>
        </w:tc>
        <w:tc>
          <w:tcPr>
            <w:tcW w:w="963"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单位</w:t>
            </w:r>
          </w:p>
        </w:tc>
        <w:tc>
          <w:tcPr>
            <w:tcW w:w="1517"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方案工程量</w:t>
            </w:r>
          </w:p>
        </w:tc>
        <w:tc>
          <w:tcPr>
            <w:tcW w:w="1398"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完成工程量</w:t>
            </w:r>
          </w:p>
        </w:tc>
        <w:tc>
          <w:tcPr>
            <w:tcW w:w="1108"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增减</w:t>
            </w:r>
          </w:p>
        </w:tc>
        <w:tc>
          <w:tcPr>
            <w:tcW w:w="997"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Ⅰ</w:t>
            </w:r>
          </w:p>
        </w:tc>
        <w:tc>
          <w:tcPr>
            <w:tcW w:w="8508" w:type="dxa"/>
            <w:gridSpan w:val="6"/>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工程措施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top"/>
          </w:tcPr>
          <w:p>
            <w:pPr>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2525" w:type="dxa"/>
            <w:vAlign w:val="center"/>
          </w:tcPr>
          <w:p>
            <w:pPr>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建构筑物区</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525"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雨水管网</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color w:val="auto"/>
                <w:kern w:val="0"/>
                <w:sz w:val="24"/>
                <w:szCs w:val="24"/>
                <w:u w:val="none"/>
                <w:lang w:val="en-US" w:eastAsia="zh-CN" w:bidi="ar"/>
              </w:rPr>
              <w:t>m</w:t>
            </w:r>
          </w:p>
        </w:tc>
        <w:tc>
          <w:tcPr>
            <w:tcW w:w="1517"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358</w:t>
            </w: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358</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top"/>
          </w:tcPr>
          <w:p>
            <w:pPr>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2525" w:type="dxa"/>
            <w:vAlign w:val="center"/>
          </w:tcPr>
          <w:p>
            <w:pPr>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道路绿化区</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525"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雨水管网</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m</w:t>
            </w:r>
            <w:r>
              <w:rPr>
                <w:rFonts w:hint="default" w:ascii="Times New Roman" w:hAnsi="Times New Roman" w:eastAsia="仿宋" w:cs="Times New Roman"/>
                <w:color w:val="auto"/>
                <w:spacing w:val="0"/>
                <w:w w:val="100"/>
                <w:position w:val="-2"/>
                <w:sz w:val="21"/>
                <w:szCs w:val="21"/>
                <w:vertAlign w:val="superscript"/>
                <w:lang w:val="en-US" w:eastAsia="zh-CN"/>
              </w:rPr>
              <w:t>3</w:t>
            </w: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735</w:t>
            </w: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735</w:t>
            </w:r>
          </w:p>
        </w:tc>
        <w:tc>
          <w:tcPr>
            <w:tcW w:w="110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525"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雨水检查井</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m</w:t>
            </w:r>
          </w:p>
        </w:tc>
        <w:tc>
          <w:tcPr>
            <w:tcW w:w="1517"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7</w:t>
            </w:r>
          </w:p>
        </w:tc>
        <w:tc>
          <w:tcPr>
            <w:tcW w:w="139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7</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w:t>
            </w:r>
          </w:p>
        </w:tc>
        <w:tc>
          <w:tcPr>
            <w:tcW w:w="2525"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绿化覆土</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个</w:t>
            </w: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1026</w:t>
            </w: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1026</w:t>
            </w:r>
          </w:p>
        </w:tc>
        <w:tc>
          <w:tcPr>
            <w:tcW w:w="110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4</w:t>
            </w:r>
          </w:p>
        </w:tc>
        <w:tc>
          <w:tcPr>
            <w:tcW w:w="2525"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铺透水砖</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m</w:t>
            </w:r>
          </w:p>
        </w:tc>
        <w:tc>
          <w:tcPr>
            <w:tcW w:w="1517"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307</w:t>
            </w:r>
          </w:p>
        </w:tc>
        <w:tc>
          <w:tcPr>
            <w:tcW w:w="139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307</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9"/>
                <w:rFonts w:hint="default" w:ascii="Times New Roman" w:hAnsi="Times New Roman" w:eastAsia="仿宋" w:cs="Times New Roman"/>
                <w:color w:val="auto"/>
                <w:sz w:val="21"/>
                <w:szCs w:val="21"/>
                <w:lang w:val="en-US" w:eastAsia="zh-CN" w:bidi="ar"/>
              </w:rPr>
              <w:t>Ⅱ</w:t>
            </w:r>
          </w:p>
        </w:tc>
        <w:tc>
          <w:tcPr>
            <w:tcW w:w="8508" w:type="dxa"/>
            <w:gridSpan w:val="6"/>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Style w:val="19"/>
                <w:rFonts w:hint="default" w:ascii="Times New Roman" w:hAnsi="Times New Roman" w:eastAsia="仿宋" w:cs="Times New Roman"/>
                <w:color w:val="auto"/>
                <w:sz w:val="21"/>
                <w:szCs w:val="21"/>
                <w:lang w:val="en-US" w:eastAsia="zh-CN" w:bidi="ar"/>
              </w:rPr>
              <w:t>植物措施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道路绿化区</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景观绿化</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m²</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5128</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3800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-1328</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4"/>
                <w:rFonts w:hint="default" w:ascii="Times New Roman" w:hAnsi="Times New Roman" w:eastAsia="仿宋" w:cs="Times New Roman"/>
                <w:color w:val="auto"/>
                <w:sz w:val="21"/>
                <w:szCs w:val="21"/>
                <w:lang w:val="en-US" w:eastAsia="zh-CN" w:bidi="ar"/>
              </w:rPr>
              <w:t>Ⅲ</w:t>
            </w:r>
          </w:p>
        </w:tc>
        <w:tc>
          <w:tcPr>
            <w:tcW w:w="8508" w:type="dxa"/>
            <w:gridSpan w:val="6"/>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Style w:val="24"/>
                <w:rFonts w:hint="default" w:ascii="Times New Roman" w:hAnsi="Times New Roman" w:eastAsia="仿宋" w:cs="Times New Roman"/>
                <w:color w:val="auto"/>
                <w:sz w:val="21"/>
                <w:szCs w:val="21"/>
                <w:lang w:val="en-US" w:eastAsia="zh-CN" w:bidi="ar"/>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建构筑物区</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彩条布覆盖</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400</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400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道路绿化区</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临时砖砌排水沟</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300</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300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砖砌沉砂池</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个</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彩条布覆盖</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800</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800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bl>
    <w:p>
      <w:pPr>
        <w:rPr>
          <w:rFonts w:hint="default" w:ascii="Times New Roman" w:hAnsi="Times New Roman" w:eastAsia="仿宋" w:cs="Times New Roman"/>
          <w:b/>
          <w:bCs/>
          <w:color w:val="auto"/>
          <w:spacing w:val="0"/>
          <w:w w:val="100"/>
          <w:position w:val="-2"/>
          <w:sz w:val="32"/>
          <w:szCs w:val="32"/>
          <w:lang w:val="en-US" w:eastAsia="zh-CN"/>
        </w:rPr>
      </w:pPr>
      <w:bookmarkStart w:id="44" w:name="_Toc15275"/>
      <w:bookmarkStart w:id="45" w:name="_Toc17462"/>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t>5</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土壤流失量分析</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6" w:name="_Toc2806"/>
      <w:bookmarkStart w:id="47" w:name="_Toc5844"/>
      <w:r>
        <w:rPr>
          <w:rFonts w:hint="default" w:ascii="Times New Roman" w:hAnsi="Times New Roman" w:eastAsia="仿宋" w:cs="Times New Roman"/>
          <w:b/>
          <w:bCs/>
          <w:color w:val="auto"/>
          <w:spacing w:val="0"/>
          <w:w w:val="100"/>
          <w:position w:val="-2"/>
          <w:sz w:val="30"/>
          <w:szCs w:val="30"/>
          <w:lang w:val="en-US" w:eastAsia="zh-CN"/>
        </w:rPr>
        <w:t>5.1</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水土流失面积</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自工程开工以来，开挖回填等扰动活动一直存在，随着全面进入施工状态时，工程水土流失面积达到最大值，面积为</w:t>
      </w:r>
      <w:r>
        <w:rPr>
          <w:rFonts w:hint="eastAsia" w:ascii="Times New Roman" w:hAnsi="Times New Roman" w:eastAsia="仿宋" w:cs="Times New Roman"/>
          <w:color w:val="auto"/>
          <w:spacing w:val="0"/>
          <w:w w:val="100"/>
          <w:position w:val="-2"/>
          <w:sz w:val="24"/>
          <w:szCs w:val="24"/>
          <w:lang w:val="en-US" w:eastAsia="zh-CN"/>
        </w:rPr>
        <w:t>1.56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8" w:name="_Toc16526"/>
      <w:bookmarkStart w:id="49" w:name="_Toc11380"/>
      <w:r>
        <w:rPr>
          <w:rFonts w:hint="default" w:ascii="Times New Roman" w:hAnsi="Times New Roman" w:eastAsia="仿宋" w:cs="Times New Roman"/>
          <w:b/>
          <w:bCs/>
          <w:color w:val="auto"/>
          <w:spacing w:val="0"/>
          <w:w w:val="100"/>
          <w:position w:val="-2"/>
          <w:sz w:val="30"/>
          <w:szCs w:val="30"/>
          <w:lang w:val="en-US" w:eastAsia="zh-CN"/>
        </w:rPr>
        <w:t>5.2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土壤流失量</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三江侗天宫景区项目</w:t>
      </w:r>
      <w:r>
        <w:rPr>
          <w:rFonts w:hint="default" w:ascii="Times New Roman" w:hAnsi="Times New Roman" w:eastAsia="仿宋" w:cs="Times New Roman"/>
          <w:color w:val="auto"/>
          <w:spacing w:val="0"/>
          <w:w w:val="100"/>
          <w:position w:val="-2"/>
          <w:sz w:val="24"/>
          <w:szCs w:val="24"/>
          <w:lang w:val="en-US" w:eastAsia="zh-CN"/>
        </w:rPr>
        <w:t>水保方案报告书》根据地形地貌、植被等因素确定项目区扰动前的水土流失为微度侵蚀，侵蚀背景值为500t/（km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5.2.2</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土壤侵蚀模数的确定以《土壤侵蚀分</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类分级标准》（SL190-2007）为依据，同时结合项目区地形地貌、降雨、现场调查情况等综合考虑。面蚀分级指标及强度详见表5-1、表5-2.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面蚀分级指标</w:t>
      </w:r>
    </w:p>
    <w:tbl>
      <w:tblPr>
        <w:tblStyle w:val="10"/>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71"/>
        <w:gridCol w:w="1362"/>
        <w:gridCol w:w="1080"/>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 w:hRule="atLeast"/>
          <w:jc w:val="center"/>
        </w:trPr>
        <w:tc>
          <w:tcPr>
            <w:tcW w:w="3633"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auto"/>
                <w:sz w:val="21"/>
                <w:szCs w:val="21"/>
                <w:u w:val="none"/>
              </w:rPr>
            </w:pPr>
          </w:p>
          <w:p>
            <w:pPr>
              <w:snapToGrid w:val="0"/>
              <w:spacing w:line="240" w:lineRule="auto"/>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auto"/>
                <w:sz w:val="21"/>
                <w:szCs w:val="21"/>
                <w:u w:val="none"/>
              </w:rPr>
            </w:pPr>
          </w:p>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坡度（°）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&gt;35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363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非耕地林草盖度（</w:t>
            </w:r>
            <w:r>
              <w:rPr>
                <w:rStyle w:val="15"/>
                <w:rFonts w:hint="default" w:ascii="Times New Roman" w:hAnsi="Times New Roman" w:eastAsia="仿宋" w:cs="Times New Roman"/>
                <w:color w:val="auto"/>
                <w:sz w:val="21"/>
                <w:szCs w:val="21"/>
                <w:lang w:val="en-US" w:eastAsia="zh-CN" w:bidi="ar"/>
              </w:rPr>
              <w:t>%</w:t>
            </w:r>
            <w:r>
              <w:rPr>
                <w:rStyle w:val="14"/>
                <w:rFonts w:hint="default" w:ascii="Times New Roman" w:hAnsi="Times New Roman" w:eastAsia="仿宋" w:cs="Times New Roman"/>
                <w:color w:val="auto"/>
                <w:sz w:val="21"/>
                <w:szCs w:val="21"/>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60~75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轻</w:t>
            </w:r>
          </w:p>
        </w:tc>
        <w:tc>
          <w:tcPr>
            <w:tcW w:w="1080" w:type="dxa"/>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45~60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30~45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&lt;30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水力侵蚀强度分级</w:t>
      </w:r>
    </w:p>
    <w:tbl>
      <w:tblPr>
        <w:tblStyle w:val="11"/>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3780"/>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级别</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平均侵蚀模数[（t/(km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.a）]</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微度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&lt;500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轻度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500~2500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中度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2500~5000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强烈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5000~8000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极强烈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8000~15000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剧烈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&gt;1500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&gt;10.345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注：本表土流失厚度系按当地平均土壤干容重1.45g/cm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vertAlign w:val="baseline"/>
          <w:lang w:val="en-US" w:eastAsia="zh-CN"/>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根据工程建设实际情况，结合降雨、现场监测时收集监测点数据及相关工程资料计算统计，项目区施工期土壤流失量为</w:t>
      </w:r>
      <w:r>
        <w:rPr>
          <w:rFonts w:hint="eastAsia" w:ascii="Times New Roman" w:hAnsi="Times New Roman" w:eastAsia="仿宋" w:cs="Times New Roman"/>
          <w:color w:val="auto"/>
          <w:spacing w:val="0"/>
          <w:w w:val="100"/>
          <w:position w:val="-2"/>
          <w:sz w:val="24"/>
          <w:szCs w:val="24"/>
          <w:lang w:val="en-US" w:eastAsia="zh-CN"/>
        </w:rPr>
        <w:t>35.03t</w:t>
      </w:r>
      <w:r>
        <w:rPr>
          <w:rFonts w:hint="default" w:ascii="Times New Roman" w:hAnsi="Times New Roman" w:eastAsia="仿宋" w:cs="Times New Roman"/>
          <w:color w:val="auto"/>
          <w:spacing w:val="0"/>
          <w:w w:val="100"/>
          <w:position w:val="-2"/>
          <w:sz w:val="24"/>
          <w:szCs w:val="24"/>
          <w:lang w:val="en-US" w:eastAsia="zh-CN"/>
        </w:rPr>
        <w:t>。项目区土壤侵蚀量详见表5-3.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不同时段各扰动分区土壤侵蚀量统计表</w:t>
      </w:r>
    </w:p>
    <w:tbl>
      <w:tblPr>
        <w:tblStyle w:val="11"/>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87"/>
        <w:gridCol w:w="1703"/>
        <w:gridCol w:w="1388"/>
        <w:gridCol w:w="2072"/>
        <w:gridCol w:w="120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阶段</w:t>
            </w:r>
          </w:p>
        </w:tc>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时间</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分区</w:t>
            </w:r>
          </w:p>
        </w:tc>
        <w:tc>
          <w:tcPr>
            <w:tcW w:w="1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监测面积（hm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平均土壤侵蚀模数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lang w:val="en-US" w:eastAsia="zh-CN"/>
              </w:rPr>
              <w:t>t/（km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lang w:val="en-US" w:eastAsia="zh-CN"/>
              </w:rPr>
              <w:t>a）</w:t>
            </w:r>
          </w:p>
        </w:tc>
        <w:tc>
          <w:tcPr>
            <w:tcW w:w="12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时间（a）</w:t>
            </w:r>
          </w:p>
        </w:tc>
        <w:tc>
          <w:tcPr>
            <w:tcW w:w="12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土壤流失量（t）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施工期</w:t>
            </w:r>
          </w:p>
        </w:tc>
        <w:tc>
          <w:tcPr>
            <w:tcW w:w="128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201</w:t>
            </w:r>
            <w:r>
              <w:rPr>
                <w:rFonts w:hint="eastAsia" w:ascii="Times New Roman" w:hAnsi="Times New Roman" w:eastAsia="仿宋" w:cs="Times New Roman"/>
                <w:color w:val="auto"/>
                <w:spacing w:val="0"/>
                <w:w w:val="100"/>
                <w:position w:val="-2"/>
                <w:sz w:val="21"/>
                <w:szCs w:val="21"/>
                <w:vertAlign w:val="baseline"/>
                <w:lang w:val="en-US" w:eastAsia="zh-CN"/>
              </w:rPr>
              <w:t>9</w:t>
            </w:r>
            <w:r>
              <w:rPr>
                <w:rFonts w:hint="default" w:ascii="Times New Roman" w:hAnsi="Times New Roman" w:eastAsia="仿宋" w:cs="Times New Roman"/>
                <w:color w:val="auto"/>
                <w:spacing w:val="0"/>
                <w:w w:val="100"/>
                <w:position w:val="-2"/>
                <w:sz w:val="21"/>
                <w:szCs w:val="21"/>
                <w:vertAlign w:val="baseline"/>
                <w:lang w:val="en-US" w:eastAsia="zh-CN"/>
              </w:rPr>
              <w:t>年</w:t>
            </w:r>
            <w:r>
              <w:rPr>
                <w:rFonts w:hint="eastAsia" w:ascii="Times New Roman" w:hAnsi="Times New Roman" w:eastAsia="仿宋" w:cs="Times New Roman"/>
                <w:color w:val="auto"/>
                <w:spacing w:val="0"/>
                <w:w w:val="100"/>
                <w:position w:val="-2"/>
                <w:sz w:val="21"/>
                <w:szCs w:val="21"/>
                <w:vertAlign w:val="baseline"/>
                <w:lang w:val="en-US" w:eastAsia="zh-CN"/>
              </w:rPr>
              <w:t>4</w:t>
            </w:r>
            <w:r>
              <w:rPr>
                <w:rFonts w:hint="default" w:ascii="Times New Roman" w:hAnsi="Times New Roman" w:eastAsia="仿宋" w:cs="Times New Roman"/>
                <w:color w:val="auto"/>
                <w:spacing w:val="0"/>
                <w:w w:val="100"/>
                <w:position w:val="-2"/>
                <w:sz w:val="21"/>
                <w:szCs w:val="21"/>
                <w:vertAlign w:val="baseline"/>
                <w:lang w:val="en-US" w:eastAsia="zh-CN"/>
              </w:rPr>
              <w:t>月~20</w:t>
            </w:r>
            <w:r>
              <w:rPr>
                <w:rFonts w:hint="eastAsia" w:ascii="Times New Roman" w:hAnsi="Times New Roman" w:eastAsia="仿宋" w:cs="Times New Roman"/>
                <w:color w:val="auto"/>
                <w:spacing w:val="0"/>
                <w:w w:val="100"/>
                <w:position w:val="-2"/>
                <w:sz w:val="21"/>
                <w:szCs w:val="21"/>
                <w:vertAlign w:val="baseline"/>
                <w:lang w:val="en-US" w:eastAsia="zh-CN"/>
              </w:rPr>
              <w:t>20</w:t>
            </w:r>
            <w:r>
              <w:rPr>
                <w:rFonts w:hint="default" w:ascii="Times New Roman" w:hAnsi="Times New Roman" w:eastAsia="仿宋" w:cs="Times New Roman"/>
                <w:color w:val="auto"/>
                <w:spacing w:val="0"/>
                <w:w w:val="100"/>
                <w:position w:val="-2"/>
                <w:sz w:val="21"/>
                <w:szCs w:val="21"/>
                <w:vertAlign w:val="baseline"/>
                <w:lang w:val="en-US" w:eastAsia="zh-CN"/>
              </w:rPr>
              <w:t>年</w:t>
            </w:r>
            <w:r>
              <w:rPr>
                <w:rFonts w:hint="eastAsia" w:ascii="Times New Roman" w:hAnsi="Times New Roman" w:eastAsia="仿宋" w:cs="Times New Roman"/>
                <w:color w:val="auto"/>
                <w:spacing w:val="0"/>
                <w:w w:val="100"/>
                <w:position w:val="-2"/>
                <w:sz w:val="21"/>
                <w:szCs w:val="21"/>
                <w:vertAlign w:val="baseline"/>
                <w:lang w:val="en-US" w:eastAsia="zh-CN"/>
              </w:rPr>
              <w:t>12</w:t>
            </w:r>
            <w:r>
              <w:rPr>
                <w:rFonts w:hint="default" w:ascii="Times New Roman" w:hAnsi="Times New Roman" w:eastAsia="仿宋" w:cs="Times New Roman"/>
                <w:color w:val="auto"/>
                <w:spacing w:val="0"/>
                <w:w w:val="100"/>
                <w:position w:val="-2"/>
                <w:sz w:val="21"/>
                <w:szCs w:val="21"/>
                <w:vertAlign w:val="baseline"/>
                <w:lang w:val="en-US" w:eastAsia="zh-CN"/>
              </w:rPr>
              <w:t>月</w:t>
            </w: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建构筑物区</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0.65</w:t>
            </w:r>
          </w:p>
        </w:tc>
        <w:tc>
          <w:tcPr>
            <w:tcW w:w="20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1445.6</w:t>
            </w:r>
          </w:p>
        </w:tc>
        <w:tc>
          <w:tcPr>
            <w:tcW w:w="120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1.25</w:t>
            </w:r>
          </w:p>
        </w:tc>
        <w:tc>
          <w:tcPr>
            <w:tcW w:w="128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道路绿化区</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0.91</w:t>
            </w:r>
          </w:p>
        </w:tc>
        <w:tc>
          <w:tcPr>
            <w:tcW w:w="20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2005</w:t>
            </w:r>
          </w:p>
        </w:tc>
        <w:tc>
          <w:tcPr>
            <w:tcW w:w="120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1.25</w:t>
            </w:r>
          </w:p>
        </w:tc>
        <w:tc>
          <w:tcPr>
            <w:tcW w:w="128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22.81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施工生产生活区</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0.03</w:t>
            </w:r>
          </w:p>
        </w:tc>
        <w:tc>
          <w:tcPr>
            <w:tcW w:w="20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1263</w:t>
            </w:r>
          </w:p>
        </w:tc>
        <w:tc>
          <w:tcPr>
            <w:tcW w:w="120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1.25</w:t>
            </w:r>
          </w:p>
        </w:tc>
        <w:tc>
          <w:tcPr>
            <w:tcW w:w="128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合计</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0</w:t>
            </w:r>
          </w:p>
        </w:tc>
        <w:tc>
          <w:tcPr>
            <w:tcW w:w="2072" w:type="dxa"/>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206" w:type="dxa"/>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285"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iCs w:val="0"/>
                <w:color w:val="auto"/>
                <w:kern w:val="0"/>
                <w:sz w:val="21"/>
                <w:szCs w:val="21"/>
                <w:u w:val="none"/>
                <w:lang w:val="en-US" w:eastAsia="zh-CN" w:bidi="ar"/>
              </w:rPr>
              <w:t>35.03</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201</w:t>
      </w:r>
      <w:r>
        <w:rPr>
          <w:rFonts w:hint="eastAsia" w:ascii="Times New Roman" w:hAnsi="Times New Roman" w:eastAsia="仿宋" w:cs="Times New Roman"/>
          <w:color w:val="auto"/>
          <w:spacing w:val="0"/>
          <w:w w:val="100"/>
          <w:position w:val="-2"/>
          <w:sz w:val="24"/>
          <w:szCs w:val="24"/>
          <w:lang w:val="en-US" w:eastAsia="zh-CN"/>
        </w:rPr>
        <w:t>9</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月~20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月期间，落实的各项水土保持设施运行良好，现场水土流失强度组件将至微度水平</w:t>
      </w:r>
      <w:r>
        <w:rPr>
          <w:rFonts w:hint="eastAsia" w:ascii="Times New Roman" w:hAnsi="Times New Roman" w:eastAsia="仿宋" w:cs="Times New Roman"/>
          <w:color w:val="auto"/>
          <w:spacing w:val="0"/>
          <w:w w:val="100"/>
          <w:position w:val="-2"/>
          <w:sz w:val="24"/>
          <w:szCs w:val="24"/>
          <w:lang w:val="en-US" w:eastAsia="zh-CN"/>
        </w:rPr>
        <w:t>500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0" w:name="_Toc28234"/>
      <w:bookmarkStart w:id="51" w:name="_Toc31767"/>
      <w:r>
        <w:rPr>
          <w:rFonts w:hint="default" w:ascii="Times New Roman" w:hAnsi="Times New Roman" w:eastAsia="仿宋" w:cs="Times New Roman"/>
          <w:b/>
          <w:bCs/>
          <w:color w:val="auto"/>
          <w:spacing w:val="0"/>
          <w:w w:val="100"/>
          <w:position w:val="-2"/>
          <w:sz w:val="30"/>
          <w:szCs w:val="30"/>
          <w:lang w:val="en-US" w:eastAsia="zh-CN"/>
        </w:rPr>
        <w:t>5.3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取料（石、料）弃土（石、料）潜在土壤流失量</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2" w:name="_Toc28885"/>
      <w:bookmarkStart w:id="53" w:name="_Toc3771"/>
      <w:r>
        <w:rPr>
          <w:rFonts w:hint="default" w:ascii="Times New Roman" w:hAnsi="Times New Roman" w:eastAsia="仿宋" w:cs="Times New Roman"/>
          <w:b/>
          <w:bCs/>
          <w:color w:val="auto"/>
          <w:spacing w:val="0"/>
          <w:w w:val="100"/>
          <w:position w:val="-2"/>
          <w:sz w:val="30"/>
          <w:szCs w:val="30"/>
          <w:lang w:val="en-US" w:eastAsia="zh-CN"/>
        </w:rPr>
        <w:t>5.4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水土流失危害</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通过现场监测及查阅施工相关资料得知，工程在</w:t>
      </w:r>
      <w:r>
        <w:rPr>
          <w:rFonts w:hint="eastAsia" w:ascii="Times New Roman" w:hAnsi="Times New Roman" w:eastAsia="仿宋" w:cs="Times New Roman"/>
          <w:color w:val="auto"/>
          <w:spacing w:val="0"/>
          <w:w w:val="100"/>
          <w:position w:val="-2"/>
          <w:sz w:val="24"/>
          <w:szCs w:val="24"/>
          <w:lang w:val="en-US" w:eastAsia="zh-CN"/>
        </w:rPr>
        <w:t>施工</w:t>
      </w:r>
      <w:r>
        <w:rPr>
          <w:rFonts w:hint="default" w:ascii="Times New Roman" w:hAnsi="Times New Roman" w:eastAsia="仿宋" w:cs="Times New Roman"/>
          <w:color w:val="auto"/>
          <w:spacing w:val="0"/>
          <w:w w:val="100"/>
          <w:position w:val="-2"/>
          <w:sz w:val="24"/>
          <w:szCs w:val="24"/>
          <w:lang w:val="en-US" w:eastAsia="zh-CN"/>
        </w:rPr>
        <w:t>阶段（20</w:t>
      </w:r>
      <w:r>
        <w:rPr>
          <w:rFonts w:hint="eastAsia" w:ascii="Times New Roman" w:hAnsi="Times New Roman" w:eastAsia="仿宋" w:cs="Times New Roman"/>
          <w:color w:val="auto"/>
          <w:spacing w:val="0"/>
          <w:w w:val="100"/>
          <w:position w:val="-2"/>
          <w:sz w:val="24"/>
          <w:szCs w:val="24"/>
          <w:lang w:val="en-US" w:eastAsia="zh-CN"/>
        </w:rPr>
        <w:t>19年4月</w:t>
      </w:r>
      <w:r>
        <w:rPr>
          <w:rFonts w:hint="default" w:ascii="Times New Roman" w:hAnsi="Times New Roman" w:eastAsia="仿宋" w:cs="Times New Roman"/>
          <w:color w:val="auto"/>
          <w:spacing w:val="0"/>
          <w:w w:val="100"/>
          <w:position w:val="-2"/>
          <w:sz w:val="24"/>
          <w:szCs w:val="24"/>
          <w:lang w:val="en-US" w:eastAsia="zh-CN"/>
        </w:rPr>
        <w:t>~20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12月</w:t>
      </w:r>
      <w:r>
        <w:rPr>
          <w:rFonts w:hint="default" w:ascii="Times New Roman" w:hAnsi="Times New Roman" w:eastAsia="仿宋" w:cs="Times New Roman"/>
          <w:color w:val="auto"/>
          <w:spacing w:val="0"/>
          <w:w w:val="100"/>
          <w:position w:val="-2"/>
          <w:sz w:val="24"/>
          <w:szCs w:val="24"/>
          <w:lang w:val="en-US" w:eastAsia="zh-CN"/>
        </w:rPr>
        <w:t>）未发生水土流失危害事件。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54" w:name="_Toc26652"/>
      <w:bookmarkStart w:id="55" w:name="_Toc12520"/>
      <w:r>
        <w:rPr>
          <w:rFonts w:hint="default" w:ascii="Times New Roman" w:hAnsi="Times New Roman" w:eastAsia="仿宋" w:cs="Times New Roman"/>
          <w:b/>
          <w:bCs/>
          <w:color w:val="auto"/>
          <w:spacing w:val="0"/>
          <w:w w:val="100"/>
          <w:position w:val="-2"/>
          <w:sz w:val="32"/>
          <w:szCs w:val="32"/>
          <w:lang w:val="en-US" w:eastAsia="zh-CN"/>
        </w:rPr>
        <w:t xml:space="preserve">6 </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水土流失防治效果监测情况</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6" w:name="_Toc16503"/>
      <w:bookmarkStart w:id="57" w:name="_Toc32403"/>
      <w:r>
        <w:rPr>
          <w:rFonts w:hint="default" w:ascii="Times New Roman" w:hAnsi="Times New Roman" w:eastAsia="仿宋" w:cs="Times New Roman"/>
          <w:b/>
          <w:bCs/>
          <w:color w:val="auto"/>
          <w:spacing w:val="0"/>
          <w:w w:val="100"/>
          <w:position w:val="-2"/>
          <w:sz w:val="30"/>
          <w:szCs w:val="30"/>
          <w:lang w:val="en-US" w:eastAsia="zh-CN"/>
        </w:rPr>
        <w:t xml:space="preserve">6.1 </w:t>
      </w:r>
      <w:bookmarkEnd w:id="56"/>
      <w:bookmarkEnd w:id="57"/>
      <w:r>
        <w:rPr>
          <w:rFonts w:hint="eastAsia" w:ascii="Times New Roman" w:hAnsi="Times New Roman" w:eastAsia="仿宋" w:cs="Times New Roman"/>
          <w:b/>
          <w:bCs/>
          <w:color w:val="auto"/>
          <w:spacing w:val="0"/>
          <w:w w:val="100"/>
          <w:position w:val="-2"/>
          <w:sz w:val="30"/>
          <w:szCs w:val="30"/>
          <w:lang w:val="en-US" w:eastAsia="zh-CN"/>
        </w:rPr>
        <w:t>水土流失总治理度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工程建设造成水土流失总面积为除去永久建筑面积以外的扰动地表面积，共计</w:t>
      </w:r>
      <w:r>
        <w:rPr>
          <w:rFonts w:hint="eastAsia" w:ascii="Times New Roman" w:hAnsi="Times New Roman" w:eastAsia="仿宋" w:cs="Times New Roman"/>
          <w:color w:val="auto"/>
          <w:spacing w:val="0"/>
          <w:w w:val="100"/>
          <w:position w:val="-2"/>
          <w:sz w:val="24"/>
          <w:szCs w:val="24"/>
          <w:lang w:val="en-US" w:eastAsia="zh-CN"/>
        </w:rPr>
        <w:t>1.56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，经采取水土保持措施治理达标的面积为</w:t>
      </w:r>
      <w:r>
        <w:rPr>
          <w:rFonts w:hint="eastAsia" w:ascii="Times New Roman" w:hAnsi="Times New Roman" w:eastAsia="仿宋" w:cs="Times New Roman"/>
          <w:color w:val="auto"/>
          <w:spacing w:val="0"/>
          <w:w w:val="100"/>
          <w:position w:val="-2"/>
          <w:sz w:val="24"/>
          <w:szCs w:val="24"/>
          <w:lang w:val="en-US" w:eastAsia="zh-CN"/>
        </w:rPr>
        <w:t>1.56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。经分析计算，水土流失总治理度为</w:t>
      </w:r>
      <w:r>
        <w:rPr>
          <w:rFonts w:hint="eastAsia" w:ascii="Times New Roman" w:hAnsi="Times New Roman" w:eastAsia="仿宋" w:cs="Times New Roman"/>
          <w:color w:val="auto"/>
          <w:spacing w:val="0"/>
          <w:w w:val="100"/>
          <w:position w:val="-2"/>
          <w:sz w:val="24"/>
          <w:szCs w:val="24"/>
          <w:lang w:val="en-US" w:eastAsia="zh-CN"/>
        </w:rPr>
        <w:t>99.36</w:t>
      </w:r>
      <w:r>
        <w:rPr>
          <w:rFonts w:hint="default" w:ascii="Times New Roman" w:hAnsi="Times New Roman" w:eastAsia="仿宋" w:cs="Times New Roman"/>
          <w:color w:val="auto"/>
          <w:spacing w:val="0"/>
          <w:w w:val="100"/>
          <w:position w:val="-2"/>
          <w:sz w:val="24"/>
          <w:szCs w:val="24"/>
          <w:lang w:val="en-US" w:eastAsia="zh-CN"/>
        </w:rPr>
        <w:t>%，达到了方案制定的目标值</w:t>
      </w:r>
      <w:r>
        <w:rPr>
          <w:rFonts w:hint="eastAsia" w:ascii="Times New Roman" w:hAnsi="Times New Roman" w:eastAsia="仿宋" w:cs="Times New Roman"/>
          <w:color w:val="auto"/>
          <w:spacing w:val="0"/>
          <w:w w:val="100"/>
          <w:position w:val="-2"/>
          <w:sz w:val="24"/>
          <w:szCs w:val="24"/>
          <w:lang w:val="en-US" w:eastAsia="zh-CN"/>
        </w:rPr>
        <w:t>97</w:t>
      </w:r>
      <w:r>
        <w:rPr>
          <w:rFonts w:hint="default" w:ascii="Times New Roman" w:hAnsi="Times New Roman" w:eastAsia="仿宋" w:cs="Times New Roman"/>
          <w:color w:val="auto"/>
          <w:spacing w:val="0"/>
          <w:w w:val="100"/>
          <w:position w:val="-2"/>
          <w:sz w:val="24"/>
          <w:szCs w:val="24"/>
          <w:lang w:val="en-US" w:eastAsia="zh-CN"/>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8" w:name="_Toc31985"/>
      <w:bookmarkStart w:id="59" w:name="_Toc196"/>
      <w:r>
        <w:rPr>
          <w:rFonts w:hint="default" w:ascii="Times New Roman" w:hAnsi="Times New Roman" w:eastAsia="仿宋" w:cs="Times New Roman"/>
          <w:b/>
          <w:bCs/>
          <w:color w:val="auto"/>
          <w:spacing w:val="0"/>
          <w:w w:val="100"/>
          <w:position w:val="-2"/>
          <w:sz w:val="30"/>
          <w:szCs w:val="30"/>
          <w:lang w:val="en-US" w:eastAsia="zh-CN"/>
        </w:rPr>
        <w:t xml:space="preserve">6.2  </w:t>
      </w:r>
      <w:bookmarkEnd w:id="58"/>
      <w:bookmarkEnd w:id="59"/>
      <w:r>
        <w:rPr>
          <w:rFonts w:hint="eastAsia" w:ascii="Times New Roman" w:hAnsi="Times New Roman" w:eastAsia="仿宋" w:cs="Times New Roman"/>
          <w:b/>
          <w:bCs/>
          <w:color w:val="auto"/>
          <w:spacing w:val="0"/>
          <w:w w:val="100"/>
          <w:position w:val="-2"/>
          <w:sz w:val="30"/>
          <w:szCs w:val="30"/>
          <w:lang w:val="en-US" w:eastAsia="zh-CN"/>
        </w:rPr>
        <w:t>土壤流失控制比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项目</w:t>
      </w:r>
      <w:r>
        <w:rPr>
          <w:rFonts w:hint="default" w:ascii="Times New Roman" w:hAnsi="Times New Roman" w:eastAsia="仿宋" w:cs="Times New Roman"/>
          <w:color w:val="auto"/>
          <w:spacing w:val="0"/>
          <w:w w:val="100"/>
          <w:position w:val="-2"/>
          <w:sz w:val="24"/>
          <w:szCs w:val="24"/>
          <w:lang w:val="en-US" w:eastAsia="zh-CN"/>
        </w:rPr>
        <w:t>柳州市三江侗族自治区属于柳江上游自治区级水土流失重点预防区</w:t>
      </w:r>
      <w:r>
        <w:rPr>
          <w:rFonts w:hint="default" w:ascii="Times New Roman" w:hAnsi="Times New Roman" w:eastAsia="仿宋" w:cs="Times New Roman"/>
          <w:color w:val="auto"/>
          <w:spacing w:val="0"/>
          <w:w w:val="100"/>
          <w:position w:val="-2"/>
          <w:sz w:val="24"/>
          <w:szCs w:val="24"/>
          <w:lang w:val="en-US" w:eastAsia="zh-CN"/>
        </w:rPr>
        <w:t>，以水力侵蚀为主。按照《土壤侵蚀分类分级标准》（SL190-2007），本期工程建设土壤容许流失量为 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·a)。通过现场调查、踏勘，项目区各项措施已经发挥效益，参照《土壤侵蚀分类分级标准》（SL190-2007）的土壤侵蚀强度分级标准和面蚀分级指标等，分析确定项目建设区治理后的平均土壤侵蚀模数为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auto"/>
          <w:spacing w:val="0"/>
          <w:w w:val="100"/>
          <w:position w:val="-2"/>
          <w:sz w:val="24"/>
          <w:szCs w:val="24"/>
          <w:lang w:val="en-US" w:eastAsia="zh-CN"/>
        </w:rPr>
        <w:t>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·a)，土壤流失控制比为 1.0，达到了方案制定的目标要求。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0" w:name="_Toc32743"/>
      <w:bookmarkStart w:id="61" w:name="_Toc6127"/>
      <w:r>
        <w:rPr>
          <w:rFonts w:hint="default" w:ascii="Times New Roman" w:hAnsi="Times New Roman" w:eastAsia="仿宋" w:cs="Times New Roman"/>
          <w:b/>
          <w:bCs/>
          <w:color w:val="auto"/>
          <w:spacing w:val="0"/>
          <w:w w:val="100"/>
          <w:position w:val="-2"/>
          <w:sz w:val="30"/>
          <w:szCs w:val="30"/>
          <w:lang w:val="en-US" w:eastAsia="zh-CN"/>
        </w:rPr>
        <w:t xml:space="preserve">6.3  </w:t>
      </w:r>
      <w:bookmarkEnd w:id="60"/>
      <w:bookmarkEnd w:id="61"/>
      <w:r>
        <w:rPr>
          <w:rFonts w:hint="eastAsia" w:ascii="Times New Roman" w:hAnsi="Times New Roman" w:eastAsia="仿宋" w:cs="Times New Roman"/>
          <w:b/>
          <w:bCs/>
          <w:color w:val="auto"/>
          <w:spacing w:val="0"/>
          <w:w w:val="100"/>
          <w:position w:val="-2"/>
          <w:sz w:val="30"/>
          <w:szCs w:val="30"/>
          <w:lang w:val="en-US" w:eastAsia="zh-CN"/>
        </w:rPr>
        <w:t>渣土防护率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根据水土保持监测资料及收集相关资料得知，工程基本采用随挖随运，工程累计挖方</w:t>
      </w:r>
      <w:r>
        <w:rPr>
          <w:rFonts w:hint="eastAsia" w:ascii="Times New Roman" w:hAnsi="Times New Roman" w:eastAsia="仿宋" w:cs="Times New Roman"/>
          <w:color w:val="auto"/>
          <w:spacing w:val="0"/>
          <w:w w:val="100"/>
          <w:position w:val="-2"/>
          <w:sz w:val="24"/>
          <w:szCs w:val="24"/>
          <w:lang w:val="en-US" w:eastAsia="zh-CN"/>
        </w:rPr>
        <w:t>1.48</w:t>
      </w:r>
      <w:r>
        <w:rPr>
          <w:rFonts w:hint="default" w:ascii="Times New Roman" w:hAnsi="Times New Roman" w:eastAsia="仿宋" w:cs="Times New Roman"/>
          <w:color w:val="auto"/>
          <w:spacing w:val="0"/>
          <w:w w:val="100"/>
          <w:position w:val="-2"/>
          <w:sz w:val="24"/>
          <w:szCs w:val="24"/>
          <w:lang w:val="en-US" w:eastAsia="zh-CN"/>
        </w:rPr>
        <w:t>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，填方</w:t>
      </w:r>
      <w:r>
        <w:rPr>
          <w:rFonts w:hint="eastAsia" w:ascii="Times New Roman" w:hAnsi="Times New Roman" w:eastAsia="仿宋" w:cs="Times New Roman"/>
          <w:color w:val="auto"/>
          <w:spacing w:val="0"/>
          <w:w w:val="100"/>
          <w:position w:val="-2"/>
          <w:sz w:val="24"/>
          <w:szCs w:val="24"/>
          <w:lang w:val="en-US" w:eastAsia="zh-CN"/>
        </w:rPr>
        <w:t>1.48</w:t>
      </w:r>
      <w:r>
        <w:rPr>
          <w:rFonts w:hint="default" w:ascii="Times New Roman" w:hAnsi="Times New Roman" w:eastAsia="仿宋" w:cs="Times New Roman"/>
          <w:color w:val="auto"/>
          <w:spacing w:val="0"/>
          <w:w w:val="100"/>
          <w:position w:val="-2"/>
          <w:sz w:val="24"/>
          <w:szCs w:val="24"/>
          <w:lang w:val="en-US" w:eastAsia="zh-CN"/>
        </w:rPr>
        <w:t>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，无弃方。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本项目不设置弃</w:t>
      </w:r>
      <w:r>
        <w:rPr>
          <w:rFonts w:hint="eastAsia" w:ascii="Times New Roman" w:hAnsi="Times New Roman" w:eastAsia="仿宋" w:cs="Times New Roman"/>
          <w:color w:val="auto"/>
          <w:spacing w:val="0"/>
          <w:w w:val="100"/>
          <w:position w:val="-2"/>
          <w:sz w:val="24"/>
          <w:szCs w:val="24"/>
          <w:lang w:val="en-US" w:eastAsia="zh-CN"/>
        </w:rPr>
        <w:t>渣</w:t>
      </w:r>
      <w:r>
        <w:rPr>
          <w:rFonts w:hint="default" w:ascii="Times New Roman" w:hAnsi="Times New Roman" w:eastAsia="仿宋" w:cs="Times New Roman"/>
          <w:color w:val="auto"/>
          <w:spacing w:val="0"/>
          <w:w w:val="100"/>
          <w:position w:val="-2"/>
          <w:sz w:val="24"/>
          <w:szCs w:val="24"/>
          <w:lang w:val="en-US" w:eastAsia="zh-CN"/>
        </w:rPr>
        <w:t>场，余方全部填埋、检修道路和施工道路平整，并将表土覆盖于平整后的地表，最后采取绿化措施恢复植被，无新增弃渣用地</w:t>
      </w:r>
      <w:r>
        <w:rPr>
          <w:rFonts w:hint="eastAsia" w:ascii="Times New Roman" w:hAnsi="Times New Roman" w:eastAsia="仿宋" w:cs="Times New Roman"/>
          <w:color w:val="auto"/>
          <w:spacing w:val="0"/>
          <w:w w:val="100"/>
          <w:position w:val="-2"/>
          <w:sz w:val="24"/>
          <w:szCs w:val="24"/>
          <w:lang w:val="en-US" w:eastAsia="zh-CN"/>
        </w:rPr>
        <w:t>，因此本项目不计算渣土防护率</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 xml:space="preserve">6.4  </w:t>
      </w:r>
      <w:r>
        <w:rPr>
          <w:rFonts w:hint="eastAsia" w:ascii="Times New Roman" w:hAnsi="Times New Roman" w:eastAsia="仿宋" w:cs="Times New Roman"/>
          <w:b/>
          <w:bCs/>
          <w:color w:val="auto"/>
          <w:spacing w:val="0"/>
          <w:w w:val="100"/>
          <w:position w:val="-2"/>
          <w:sz w:val="30"/>
          <w:szCs w:val="30"/>
          <w:lang w:val="en-US" w:eastAsia="zh-CN"/>
        </w:rPr>
        <w:t>表土保护率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kern w:val="0"/>
          <w:position w:val="0"/>
          <w:sz w:val="24"/>
          <w:szCs w:val="24"/>
          <w:lang w:val="en-US" w:eastAsia="zh-CN"/>
        </w:rPr>
        <w:t>表土保护率＝〔项目防治责任范围内保护的表土数量/可剥离表土总量〕 ×100%。该项目并未对表土进行剥离，故不计算表土保护率。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6.5  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林草植被恢复率指项目建设区内，林草类植被面积占可恢复林草植被（目前经济、技术条件下适宜于恢复林草植被）面积的百分比。林草覆盖率指林草类植被面积占项目建设区面积的百分比。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根据对植物措施的调查及抽样监测，结合查阅主体工程施工、占地和绿化等有关资料得知，工程防治责任范围为</w:t>
      </w:r>
      <w:r>
        <w:rPr>
          <w:rFonts w:hint="eastAsia" w:ascii="Times New Roman" w:hAnsi="Times New Roman" w:eastAsia="仿宋" w:cs="Times New Roman"/>
          <w:color w:val="auto"/>
          <w:spacing w:val="0"/>
          <w:w w:val="100"/>
          <w:position w:val="-2"/>
          <w:sz w:val="24"/>
          <w:szCs w:val="24"/>
          <w:lang w:val="en-US" w:eastAsia="zh-CN"/>
        </w:rPr>
        <w:t>1.56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，可绿化面积为</w:t>
      </w:r>
      <w:r>
        <w:rPr>
          <w:rFonts w:hint="eastAsia" w:ascii="Times New Roman" w:hAnsi="Times New Roman" w:eastAsia="仿宋" w:cs="Times New Roman"/>
          <w:color w:val="auto"/>
          <w:spacing w:val="0"/>
          <w:w w:val="100"/>
          <w:position w:val="-2"/>
          <w:sz w:val="24"/>
          <w:szCs w:val="24"/>
          <w:lang w:val="en-US" w:eastAsia="zh-CN"/>
        </w:rPr>
        <w:t>0.39</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vertAlign w:val="superscript"/>
          <w:lang w:val="en-US" w:eastAsia="zh-CN"/>
        </w:rPr>
        <w:t>,</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恢复植被面积为</w:t>
      </w:r>
      <w:r>
        <w:rPr>
          <w:rFonts w:hint="eastAsia" w:ascii="Times New Roman" w:hAnsi="Times New Roman" w:eastAsia="仿宋" w:cs="Times New Roman"/>
          <w:color w:val="auto"/>
          <w:spacing w:val="0"/>
          <w:w w:val="100"/>
          <w:position w:val="-2"/>
          <w:sz w:val="24"/>
          <w:szCs w:val="24"/>
          <w:lang w:val="en-US" w:eastAsia="zh-CN"/>
        </w:rPr>
        <w:t>0.38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，林草植被恢复率为</w:t>
      </w:r>
      <w:r>
        <w:rPr>
          <w:rFonts w:hint="eastAsia" w:ascii="Times New Roman" w:hAnsi="Times New Roman" w:eastAsia="仿宋" w:cs="Times New Roman"/>
          <w:color w:val="auto"/>
          <w:spacing w:val="0"/>
          <w:w w:val="100"/>
          <w:position w:val="-2"/>
          <w:sz w:val="24"/>
          <w:szCs w:val="24"/>
          <w:lang w:val="en-US" w:eastAsia="zh-CN"/>
        </w:rPr>
        <w:t>97.44</w:t>
      </w:r>
      <w:r>
        <w:rPr>
          <w:rFonts w:hint="default" w:ascii="Times New Roman" w:hAnsi="Times New Roman" w:eastAsia="仿宋" w:cs="Times New Roman"/>
          <w:color w:val="auto"/>
          <w:spacing w:val="0"/>
          <w:w w:val="100"/>
          <w:position w:val="-2"/>
          <w:sz w:val="24"/>
          <w:szCs w:val="24"/>
          <w:lang w:val="en-US" w:eastAsia="zh-CN"/>
        </w:rPr>
        <w:t>%。达到方案目标值</w:t>
      </w:r>
      <w:r>
        <w:rPr>
          <w:rFonts w:hint="eastAsia" w:ascii="Times New Roman" w:hAnsi="Times New Roman" w:eastAsia="仿宋" w:cs="Times New Roman"/>
          <w:color w:val="auto"/>
          <w:spacing w:val="0"/>
          <w:w w:val="100"/>
          <w:position w:val="-2"/>
          <w:sz w:val="24"/>
          <w:szCs w:val="24"/>
          <w:lang w:val="en-US" w:eastAsia="zh-CN"/>
        </w:rPr>
        <w:t>96</w:t>
      </w:r>
      <w:r>
        <w:rPr>
          <w:rFonts w:hint="default" w:ascii="Times New Roman" w:hAnsi="Times New Roman" w:eastAsia="仿宋" w:cs="Times New Roman"/>
          <w:color w:val="auto"/>
          <w:spacing w:val="0"/>
          <w:w w:val="100"/>
          <w:position w:val="-2"/>
          <w:sz w:val="24"/>
          <w:szCs w:val="24"/>
          <w:lang w:val="en-US" w:eastAsia="zh-CN"/>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2" w:name="_Toc28073"/>
      <w:bookmarkStart w:id="63" w:name="_Toc8255"/>
      <w:r>
        <w:rPr>
          <w:rFonts w:hint="default" w:ascii="Times New Roman" w:hAnsi="Times New Roman" w:eastAsia="仿宋" w:cs="Times New Roman"/>
          <w:b/>
          <w:bCs/>
          <w:color w:val="auto"/>
          <w:spacing w:val="0"/>
          <w:w w:val="100"/>
          <w:position w:val="-2"/>
          <w:sz w:val="30"/>
          <w:szCs w:val="30"/>
          <w:lang w:val="en-US" w:eastAsia="zh-CN"/>
        </w:rPr>
        <w:t>6.6  林草覆盖率</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sectPr>
          <w:headerReference r:id="rId9" w:type="default"/>
          <w:footerReference r:id="rId10" w:type="default"/>
          <w:pgSz w:w="11923" w:h="16838"/>
          <w:pgMar w:top="1140" w:right="1321" w:bottom="1202" w:left="1298" w:header="567" w:footer="850" w:gutter="0"/>
          <w:pgNumType w:fmt="decimal"/>
          <w:cols w:space="425" w:num="1"/>
          <w:rtlGutter w:val="0"/>
          <w:docGrid w:type="lines" w:linePitch="290" w:charSpace="0"/>
        </w:sectPr>
      </w:pPr>
      <w:r>
        <w:rPr>
          <w:rFonts w:hint="default" w:ascii="Times New Roman" w:hAnsi="Times New Roman" w:eastAsia="仿宋" w:cs="Times New Roman"/>
          <w:color w:val="auto"/>
          <w:spacing w:val="0"/>
          <w:w w:val="100"/>
          <w:position w:val="-2"/>
          <w:sz w:val="24"/>
          <w:szCs w:val="24"/>
          <w:lang w:val="en-US" w:eastAsia="zh-CN"/>
        </w:rPr>
        <w:t>本工程林草面积</w:t>
      </w:r>
      <w:r>
        <w:rPr>
          <w:rFonts w:hint="eastAsia" w:ascii="Times New Roman" w:hAnsi="Times New Roman" w:eastAsia="仿宋" w:cs="Times New Roman"/>
          <w:color w:val="auto"/>
          <w:spacing w:val="0"/>
          <w:w w:val="100"/>
          <w:position w:val="-2"/>
          <w:sz w:val="24"/>
          <w:szCs w:val="24"/>
          <w:lang w:val="en-US" w:eastAsia="zh-CN"/>
        </w:rPr>
        <w:t>0.38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，项目扰动地表面积为</w:t>
      </w:r>
      <w:r>
        <w:rPr>
          <w:rFonts w:hint="eastAsia" w:ascii="Times New Roman" w:hAnsi="Times New Roman" w:eastAsia="仿宋" w:cs="Times New Roman"/>
          <w:color w:val="auto"/>
          <w:spacing w:val="0"/>
          <w:w w:val="100"/>
          <w:position w:val="-2"/>
          <w:sz w:val="24"/>
          <w:szCs w:val="24"/>
          <w:lang w:val="en-US" w:eastAsia="zh-CN"/>
        </w:rPr>
        <w:t>1.56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，林草植被覆盖率为</w:t>
      </w:r>
      <w:r>
        <w:rPr>
          <w:rFonts w:hint="eastAsia" w:ascii="Times New Roman" w:hAnsi="Times New Roman" w:eastAsia="仿宋" w:cs="Times New Roman"/>
          <w:color w:val="auto"/>
          <w:spacing w:val="0"/>
          <w:w w:val="100"/>
          <w:position w:val="-2"/>
          <w:sz w:val="24"/>
          <w:szCs w:val="24"/>
          <w:lang w:val="en-US" w:eastAsia="zh-CN"/>
        </w:rPr>
        <w:t>24.36%，</w:t>
      </w:r>
      <w:r>
        <w:rPr>
          <w:rFonts w:hint="default" w:ascii="Times New Roman" w:hAnsi="Times New Roman" w:eastAsia="仿宋" w:cs="Times New Roman"/>
          <w:color w:val="auto"/>
          <w:spacing w:val="0"/>
          <w:w w:val="100"/>
          <w:position w:val="-2"/>
          <w:sz w:val="24"/>
          <w:szCs w:val="24"/>
          <w:lang w:val="en-US" w:eastAsia="zh-CN"/>
        </w:rPr>
        <w:t>达到方案目标值</w:t>
      </w:r>
      <w:r>
        <w:rPr>
          <w:rFonts w:hint="eastAsia" w:ascii="Times New Roman" w:hAnsi="Times New Roman" w:eastAsia="仿宋" w:cs="Times New Roman"/>
          <w:color w:val="auto"/>
          <w:spacing w:val="0"/>
          <w:w w:val="100"/>
          <w:position w:val="-2"/>
          <w:sz w:val="24"/>
          <w:szCs w:val="24"/>
          <w:lang w:val="en-US" w:eastAsia="zh-CN"/>
        </w:rPr>
        <w:t>23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w:t>
      </w: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p>
    <w:p>
      <w:pPr>
        <w:pStyle w:val="2"/>
        <w:ind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扰动土地整治率及水土流失总治理度分析表</w:t>
      </w:r>
    </w:p>
    <w:tbl>
      <w:tblPr>
        <w:tblStyle w:val="11"/>
        <w:tblW w:w="12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8"/>
        <w:gridCol w:w="1858"/>
        <w:gridCol w:w="1381"/>
        <w:gridCol w:w="1636"/>
        <w:gridCol w:w="1108"/>
        <w:gridCol w:w="1125"/>
        <w:gridCol w:w="1023"/>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序号</w:t>
            </w:r>
          </w:p>
        </w:tc>
        <w:tc>
          <w:tcPr>
            <w:tcW w:w="16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项目分区</w:t>
            </w:r>
          </w:p>
        </w:tc>
        <w:tc>
          <w:tcPr>
            <w:tcW w:w="18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建筑物及硬化（hm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6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325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水土保持措施面积（hm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77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水土流失总治理度（%）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6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6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工程措施</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植物措施</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小计</w:t>
            </w:r>
          </w:p>
        </w:tc>
        <w:tc>
          <w:tcPr>
            <w:tcW w:w="177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建构筑物区</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0.65</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0.59</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0.06</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0.05</w:t>
            </w:r>
          </w:p>
        </w:tc>
        <w:tc>
          <w:tcPr>
            <w:tcW w:w="1125"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0.05</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98.46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2</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道路绿化区</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0.91</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0.53</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0.38</w:t>
            </w:r>
          </w:p>
        </w:tc>
        <w:tc>
          <w:tcPr>
            <w:tcW w:w="1108"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0.38</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1.56</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1.12</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0.44</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0.05</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0.38</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0.43</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99.36</w:t>
            </w:r>
          </w:p>
        </w:tc>
      </w:tr>
    </w:tbl>
    <w:p>
      <w:pPr>
        <w:pStyle w:val="2"/>
        <w:rPr>
          <w:rFonts w:hint="default" w:ascii="Times New Roman" w:hAnsi="Times New Roman" w:eastAsia="仿宋" w:cs="Times New Roman"/>
          <w:color w:val="auto"/>
          <w:spacing w:val="0"/>
          <w:w w:val="100"/>
          <w:position w:val="-2"/>
          <w:sz w:val="24"/>
          <w:szCs w:val="24"/>
          <w:lang w:val="en-US" w:eastAsia="zh-CN"/>
        </w:rPr>
      </w:pP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林草植被恢复率及植被覆盖率计算表</w:t>
      </w:r>
    </w:p>
    <w:tbl>
      <w:tblPr>
        <w:tblStyle w:val="11"/>
        <w:tblW w:w="14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858"/>
        <w:gridCol w:w="2638"/>
        <w:gridCol w:w="2018"/>
        <w:gridCol w:w="2540"/>
        <w:gridCol w:w="2167"/>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序号</w:t>
            </w:r>
          </w:p>
        </w:tc>
        <w:tc>
          <w:tcPr>
            <w:tcW w:w="18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项目分区</w:t>
            </w:r>
          </w:p>
        </w:tc>
        <w:tc>
          <w:tcPr>
            <w:tcW w:w="2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可绿化面积（hm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林草类植被面积（hm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林草植被恢复率（%）</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9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1</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建构筑物区</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0.65</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2</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道路绿化区</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0.91</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0.39</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0.38</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97.44</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41.76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1.56</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0.39</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0.38</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97.44</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24.36</w:t>
            </w:r>
          </w:p>
        </w:tc>
      </w:tr>
    </w:tbl>
    <w:p>
      <w:pPr>
        <w:pStyle w:val="2"/>
        <w:rPr>
          <w:rFonts w:hint="eastAsia"/>
          <w:color w:val="auto"/>
          <w:lang w:val="en-US" w:eastAsia="zh-CN"/>
        </w:rPr>
        <w:sectPr>
          <w:pgSz w:w="16838" w:h="11923" w:orient="landscape"/>
          <w:pgMar w:top="1298" w:right="1140" w:bottom="1321" w:left="1202" w:header="737"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4" w:name="_Toc28796"/>
      <w:bookmarkStart w:id="65" w:name="_Toc6458"/>
      <w:r>
        <w:rPr>
          <w:rFonts w:hint="default" w:ascii="Times New Roman" w:hAnsi="Times New Roman" w:eastAsia="仿宋" w:cs="Times New Roman"/>
          <w:b/>
          <w:bCs/>
          <w:color w:val="auto"/>
          <w:spacing w:val="0"/>
          <w:w w:val="100"/>
          <w:position w:val="-2"/>
          <w:sz w:val="30"/>
          <w:szCs w:val="30"/>
          <w:lang w:val="en-US" w:eastAsia="zh-CN"/>
        </w:rPr>
        <w:t>6.7</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防治目标完成情况</w:t>
      </w:r>
      <w:bookmarkEnd w:id="64"/>
      <w:bookmarkEnd w:id="65"/>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综上所述，截至20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月，现场数据显示，工程六项指标已经达到方案目标值，详见表6-3。</w:t>
      </w:r>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水土流失防治指标完成情况一览表</w:t>
      </w:r>
    </w:p>
    <w:tbl>
      <w:tblPr>
        <w:tblStyle w:val="11"/>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631"/>
        <w:gridCol w:w="1635"/>
        <w:gridCol w:w="175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防治目标</w:t>
            </w:r>
          </w:p>
        </w:tc>
        <w:tc>
          <w:tcPr>
            <w:tcW w:w="1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方案值</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实际值</w:t>
            </w:r>
          </w:p>
        </w:tc>
        <w:tc>
          <w:tcPr>
            <w:tcW w:w="16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631" w:type="dxa"/>
            <w:vAlign w:val="center"/>
          </w:tcPr>
          <w:p>
            <w:pPr>
              <w:keepNext w:val="0"/>
              <w:keepLines w:val="0"/>
              <w:widowControl/>
              <w:suppressLineNumbers w:val="0"/>
              <w:jc w:val="center"/>
              <w:textAlignment w:val="center"/>
              <w:rPr>
                <w:rFonts w:hint="eastAsia" w:ascii="仿宋" w:hAnsi="仿宋" w:eastAsia="仿宋" w:cs="仿宋"/>
                <w:color w:val="auto"/>
                <w:spacing w:val="0"/>
                <w:w w:val="100"/>
                <w:position w:val="-2"/>
                <w:sz w:val="21"/>
                <w:szCs w:val="21"/>
                <w:vertAlign w:val="baseline"/>
                <w:lang w:val="en-US" w:eastAsia="zh-CN"/>
              </w:rPr>
            </w:pPr>
            <w:r>
              <w:rPr>
                <w:rFonts w:hint="eastAsia" w:ascii="仿宋" w:hAnsi="仿宋" w:eastAsia="仿宋" w:cs="仿宋"/>
                <w:i w:val="0"/>
                <w:iCs w:val="0"/>
                <w:color w:val="auto"/>
                <w:kern w:val="0"/>
                <w:sz w:val="21"/>
                <w:szCs w:val="21"/>
                <w:u w:val="none"/>
                <w:lang w:val="en-US" w:eastAsia="zh-CN" w:bidi="ar"/>
              </w:rPr>
              <w:t>扰动土地整治率（%）</w:t>
            </w:r>
          </w:p>
        </w:tc>
        <w:tc>
          <w:tcPr>
            <w:tcW w:w="163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97</w:t>
            </w:r>
          </w:p>
        </w:tc>
        <w:tc>
          <w:tcPr>
            <w:tcW w:w="175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99.36 </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631" w:type="dxa"/>
            <w:vAlign w:val="center"/>
          </w:tcPr>
          <w:p>
            <w:pPr>
              <w:keepNext w:val="0"/>
              <w:keepLines w:val="0"/>
              <w:widowControl/>
              <w:suppressLineNumbers w:val="0"/>
              <w:jc w:val="center"/>
              <w:textAlignment w:val="center"/>
              <w:rPr>
                <w:rFonts w:hint="eastAsia" w:ascii="仿宋" w:hAnsi="仿宋" w:eastAsia="仿宋" w:cs="仿宋"/>
                <w:color w:val="auto"/>
                <w:spacing w:val="0"/>
                <w:w w:val="100"/>
                <w:position w:val="-2"/>
                <w:sz w:val="21"/>
                <w:szCs w:val="21"/>
                <w:vertAlign w:val="baseline"/>
                <w:lang w:val="en-US" w:eastAsia="zh-CN"/>
              </w:rPr>
            </w:pPr>
            <w:r>
              <w:rPr>
                <w:rFonts w:hint="eastAsia" w:ascii="仿宋" w:hAnsi="仿宋" w:eastAsia="仿宋" w:cs="仿宋"/>
                <w:i w:val="0"/>
                <w:iCs w:val="0"/>
                <w:color w:val="auto"/>
                <w:kern w:val="0"/>
                <w:sz w:val="21"/>
                <w:szCs w:val="21"/>
                <w:u w:val="none"/>
                <w:lang w:val="en-US" w:eastAsia="zh-CN" w:bidi="ar"/>
              </w:rPr>
              <w:t>水土流失总治理度（%）</w:t>
            </w:r>
          </w:p>
        </w:tc>
        <w:tc>
          <w:tcPr>
            <w:tcW w:w="163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97</w:t>
            </w:r>
          </w:p>
        </w:tc>
        <w:tc>
          <w:tcPr>
            <w:tcW w:w="175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97.73 </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w:t>
            </w:r>
          </w:p>
        </w:tc>
        <w:tc>
          <w:tcPr>
            <w:tcW w:w="2631" w:type="dxa"/>
            <w:vAlign w:val="center"/>
          </w:tcPr>
          <w:p>
            <w:pPr>
              <w:keepNext w:val="0"/>
              <w:keepLines w:val="0"/>
              <w:widowControl/>
              <w:suppressLineNumbers w:val="0"/>
              <w:jc w:val="center"/>
              <w:textAlignment w:val="center"/>
              <w:rPr>
                <w:rFonts w:hint="eastAsia" w:ascii="仿宋" w:hAnsi="仿宋" w:eastAsia="仿宋" w:cs="仿宋"/>
                <w:color w:val="auto"/>
                <w:spacing w:val="0"/>
                <w:w w:val="100"/>
                <w:position w:val="-2"/>
                <w:sz w:val="21"/>
                <w:szCs w:val="21"/>
                <w:vertAlign w:val="baseline"/>
                <w:lang w:val="en-US" w:eastAsia="zh-CN"/>
              </w:rPr>
            </w:pPr>
            <w:r>
              <w:rPr>
                <w:rFonts w:hint="eastAsia" w:ascii="仿宋" w:hAnsi="仿宋" w:eastAsia="仿宋" w:cs="仿宋"/>
                <w:i w:val="0"/>
                <w:iCs w:val="0"/>
                <w:color w:val="auto"/>
                <w:kern w:val="0"/>
                <w:sz w:val="21"/>
                <w:szCs w:val="21"/>
                <w:u w:val="none"/>
                <w:lang w:val="en-US" w:eastAsia="zh-CN" w:bidi="ar"/>
              </w:rPr>
              <w:t>土壤流失控制比</w:t>
            </w:r>
          </w:p>
        </w:tc>
        <w:tc>
          <w:tcPr>
            <w:tcW w:w="163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1.0 </w:t>
            </w:r>
          </w:p>
        </w:tc>
        <w:tc>
          <w:tcPr>
            <w:tcW w:w="175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1.0 </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4</w:t>
            </w:r>
          </w:p>
        </w:tc>
        <w:tc>
          <w:tcPr>
            <w:tcW w:w="2631" w:type="dxa"/>
            <w:vAlign w:val="center"/>
          </w:tcPr>
          <w:p>
            <w:pPr>
              <w:keepNext w:val="0"/>
              <w:keepLines w:val="0"/>
              <w:widowControl/>
              <w:suppressLineNumbers w:val="0"/>
              <w:jc w:val="center"/>
              <w:textAlignment w:val="center"/>
              <w:rPr>
                <w:rFonts w:hint="eastAsia" w:ascii="仿宋" w:hAnsi="仿宋" w:eastAsia="仿宋" w:cs="仿宋"/>
                <w:color w:val="auto"/>
                <w:spacing w:val="0"/>
                <w:w w:val="100"/>
                <w:position w:val="-2"/>
                <w:sz w:val="21"/>
                <w:szCs w:val="21"/>
                <w:vertAlign w:val="baseline"/>
                <w:lang w:val="en-US" w:eastAsia="zh-CN"/>
              </w:rPr>
            </w:pPr>
            <w:r>
              <w:rPr>
                <w:rFonts w:hint="eastAsia" w:ascii="仿宋" w:hAnsi="仿宋" w:eastAsia="仿宋" w:cs="仿宋"/>
                <w:i w:val="0"/>
                <w:iCs w:val="0"/>
                <w:color w:val="auto"/>
                <w:kern w:val="0"/>
                <w:sz w:val="21"/>
                <w:szCs w:val="21"/>
                <w:u w:val="none"/>
                <w:lang w:val="en-US" w:eastAsia="zh-CN" w:bidi="ar"/>
              </w:rPr>
              <w:t>拦渣率（%）</w:t>
            </w:r>
          </w:p>
        </w:tc>
        <w:tc>
          <w:tcPr>
            <w:tcW w:w="163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175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w:t>
            </w:r>
          </w:p>
        </w:tc>
        <w:tc>
          <w:tcPr>
            <w:tcW w:w="2631" w:type="dxa"/>
            <w:vAlign w:val="center"/>
          </w:tcPr>
          <w:p>
            <w:pPr>
              <w:keepNext w:val="0"/>
              <w:keepLines w:val="0"/>
              <w:widowControl/>
              <w:suppressLineNumbers w:val="0"/>
              <w:jc w:val="center"/>
              <w:textAlignment w:val="center"/>
              <w:rPr>
                <w:rFonts w:hint="eastAsia" w:ascii="仿宋" w:hAnsi="仿宋" w:eastAsia="仿宋" w:cs="仿宋"/>
                <w:color w:val="auto"/>
                <w:spacing w:val="0"/>
                <w:w w:val="100"/>
                <w:position w:val="-2"/>
                <w:sz w:val="21"/>
                <w:szCs w:val="21"/>
                <w:vertAlign w:val="baseline"/>
                <w:lang w:val="en-US" w:eastAsia="zh-CN"/>
              </w:rPr>
            </w:pPr>
            <w:r>
              <w:rPr>
                <w:rFonts w:hint="eastAsia" w:ascii="仿宋" w:hAnsi="仿宋" w:eastAsia="仿宋" w:cs="仿宋"/>
                <w:i w:val="0"/>
                <w:iCs w:val="0"/>
                <w:color w:val="auto"/>
                <w:kern w:val="0"/>
                <w:sz w:val="21"/>
                <w:szCs w:val="21"/>
                <w:u w:val="none"/>
                <w:lang w:val="en-US" w:eastAsia="zh-CN" w:bidi="ar"/>
              </w:rPr>
              <w:t>林草植被恢复率（%）</w:t>
            </w:r>
          </w:p>
        </w:tc>
        <w:tc>
          <w:tcPr>
            <w:tcW w:w="163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96</w:t>
            </w:r>
          </w:p>
        </w:tc>
        <w:tc>
          <w:tcPr>
            <w:tcW w:w="175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97.44 </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6</w:t>
            </w:r>
          </w:p>
        </w:tc>
        <w:tc>
          <w:tcPr>
            <w:tcW w:w="2631" w:type="dxa"/>
            <w:vAlign w:val="center"/>
          </w:tcPr>
          <w:p>
            <w:pPr>
              <w:keepNext w:val="0"/>
              <w:keepLines w:val="0"/>
              <w:widowControl/>
              <w:suppressLineNumbers w:val="0"/>
              <w:jc w:val="center"/>
              <w:textAlignment w:val="center"/>
              <w:rPr>
                <w:rFonts w:hint="eastAsia" w:ascii="仿宋" w:hAnsi="仿宋" w:eastAsia="仿宋" w:cs="仿宋"/>
                <w:color w:val="auto"/>
                <w:spacing w:val="0"/>
                <w:w w:val="100"/>
                <w:position w:val="-2"/>
                <w:sz w:val="21"/>
                <w:szCs w:val="21"/>
                <w:vertAlign w:val="baseline"/>
                <w:lang w:val="en-US" w:eastAsia="zh-CN"/>
              </w:rPr>
            </w:pPr>
            <w:r>
              <w:rPr>
                <w:rFonts w:hint="eastAsia" w:ascii="仿宋" w:hAnsi="仿宋" w:eastAsia="仿宋" w:cs="仿宋"/>
                <w:i w:val="0"/>
                <w:iCs w:val="0"/>
                <w:color w:val="auto"/>
                <w:kern w:val="0"/>
                <w:sz w:val="21"/>
                <w:szCs w:val="21"/>
                <w:u w:val="none"/>
                <w:lang w:val="en-US" w:eastAsia="zh-CN" w:bidi="ar"/>
              </w:rPr>
              <w:t>林草覆盖率（%）</w:t>
            </w:r>
          </w:p>
        </w:tc>
        <w:tc>
          <w:tcPr>
            <w:tcW w:w="163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23</w:t>
            </w:r>
          </w:p>
        </w:tc>
        <w:tc>
          <w:tcPr>
            <w:tcW w:w="175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2"/>
                <w:szCs w:val="22"/>
                <w:u w:val="none"/>
                <w:lang w:val="en-US" w:eastAsia="zh-CN" w:bidi="ar"/>
              </w:rPr>
              <w:t xml:space="preserve">24.36 </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auto"/>
          <w:spacing w:val="0"/>
          <w:w w:val="100"/>
          <w:position w:val="-2"/>
          <w:sz w:val="24"/>
          <w:szCs w:val="24"/>
          <w:lang w:val="en-US" w:eastAsia="zh-CN"/>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66" w:name="_Toc24370"/>
      <w:bookmarkStart w:id="67" w:name="_Toc6891"/>
      <w:r>
        <w:rPr>
          <w:rFonts w:hint="default" w:ascii="Times New Roman" w:hAnsi="Times New Roman" w:eastAsia="仿宋" w:cs="Times New Roman"/>
          <w:b/>
          <w:bCs/>
          <w:color w:val="auto"/>
          <w:spacing w:val="0"/>
          <w:w w:val="100"/>
          <w:position w:val="-2"/>
          <w:sz w:val="32"/>
          <w:szCs w:val="32"/>
          <w:lang w:val="en-US" w:eastAsia="zh-CN"/>
        </w:rPr>
        <w:t xml:space="preserve">7 </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结论</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8" w:name="_Toc1560"/>
      <w:bookmarkStart w:id="69" w:name="_Toc32195"/>
      <w:r>
        <w:rPr>
          <w:rFonts w:hint="default" w:ascii="Times New Roman" w:hAnsi="Times New Roman" w:eastAsia="仿宋" w:cs="Times New Roman"/>
          <w:b/>
          <w:bCs/>
          <w:color w:val="auto"/>
          <w:spacing w:val="0"/>
          <w:w w:val="100"/>
          <w:position w:val="-2"/>
          <w:sz w:val="30"/>
          <w:szCs w:val="30"/>
          <w:lang w:val="en-US" w:eastAsia="zh-CN"/>
        </w:rPr>
        <w:t>7.1  水土流失动态变化</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7.1.1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根据工程实际征占地面积，并结合已批复的水土保持方案报告书及现场调查监测，工程实际扰动和影响范围为</w:t>
      </w:r>
      <w:r>
        <w:rPr>
          <w:rFonts w:hint="eastAsia" w:ascii="Times New Roman" w:hAnsi="Times New Roman" w:eastAsia="仿宋" w:cs="Times New Roman"/>
          <w:color w:val="auto"/>
          <w:spacing w:val="0"/>
          <w:w w:val="100"/>
          <w:position w:val="-2"/>
          <w:sz w:val="24"/>
          <w:szCs w:val="24"/>
          <w:lang w:val="en-US" w:eastAsia="zh-CN"/>
        </w:rPr>
        <w:t>1.56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，为项目建设区，与水土保持方案批复的水土流失防治责任范围</w:t>
      </w:r>
      <w:r>
        <w:rPr>
          <w:rFonts w:hint="eastAsia" w:ascii="Times New Roman" w:hAnsi="Times New Roman" w:eastAsia="仿宋" w:cs="Times New Roman"/>
          <w:color w:val="auto"/>
          <w:spacing w:val="0"/>
          <w:w w:val="100"/>
          <w:position w:val="-2"/>
          <w:sz w:val="24"/>
          <w:szCs w:val="24"/>
          <w:lang w:val="en-US" w:eastAsia="zh-CN"/>
        </w:rPr>
        <w:t>1.56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vertAlign w:val="baseline"/>
          <w:lang w:val="en-US" w:eastAsia="zh-CN"/>
        </w:rPr>
        <w:t>，</w:t>
      </w:r>
      <w:r>
        <w:rPr>
          <w:rFonts w:hint="eastAsia" w:ascii="Times New Roman" w:hAnsi="Times New Roman" w:eastAsia="仿宋" w:cs="Times New Roman"/>
          <w:color w:val="auto"/>
          <w:spacing w:val="0"/>
          <w:w w:val="100"/>
          <w:position w:val="-2"/>
          <w:sz w:val="24"/>
          <w:szCs w:val="24"/>
          <w:lang w:val="en-US" w:eastAsia="zh-CN"/>
        </w:rPr>
        <w:t>项目严格按照水土保持方案设计，故未面积未发生变化</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7.1.2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批复的水土保持方案报告中，本工程土石方开挖总量</w:t>
      </w:r>
      <w:r>
        <w:rPr>
          <w:rFonts w:hint="eastAsia" w:ascii="Times New Roman" w:hAnsi="Times New Roman" w:eastAsia="仿宋" w:cs="Times New Roman"/>
          <w:color w:val="auto"/>
          <w:spacing w:val="0"/>
          <w:w w:val="100"/>
          <w:position w:val="-2"/>
          <w:sz w:val="24"/>
          <w:szCs w:val="24"/>
          <w:lang w:val="en-US" w:eastAsia="zh-CN"/>
        </w:rPr>
        <w:t>3.20</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，总填方量为</w:t>
      </w:r>
      <w:r>
        <w:rPr>
          <w:rFonts w:hint="eastAsia" w:ascii="Times New Roman" w:hAnsi="Times New Roman" w:eastAsia="仿宋" w:cs="Times New Roman"/>
          <w:color w:val="auto"/>
          <w:spacing w:val="0"/>
          <w:w w:val="100"/>
          <w:position w:val="-2"/>
          <w:sz w:val="24"/>
          <w:szCs w:val="24"/>
          <w:lang w:val="en-US" w:eastAsia="zh-CN"/>
        </w:rPr>
        <w:t>3.30</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借方量为0.10万m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，无弃渣。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根据调查监测结果统计所知，工程实际挖方总量</w:t>
      </w:r>
      <w:r>
        <w:rPr>
          <w:rFonts w:hint="eastAsia" w:ascii="Times New Roman" w:hAnsi="Times New Roman" w:eastAsia="仿宋" w:cs="Times New Roman"/>
          <w:color w:val="auto"/>
          <w:spacing w:val="0"/>
          <w:w w:val="100"/>
          <w:position w:val="-2"/>
          <w:sz w:val="24"/>
          <w:szCs w:val="24"/>
          <w:lang w:val="en-US" w:eastAsia="zh-CN"/>
        </w:rPr>
        <w:t>1.48</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，填方量为</w:t>
      </w:r>
      <w:r>
        <w:rPr>
          <w:rFonts w:hint="eastAsia" w:ascii="Times New Roman" w:hAnsi="Times New Roman" w:eastAsia="仿宋" w:cs="Times New Roman"/>
          <w:color w:val="auto"/>
          <w:spacing w:val="0"/>
          <w:w w:val="100"/>
          <w:position w:val="-2"/>
          <w:sz w:val="24"/>
          <w:szCs w:val="24"/>
          <w:lang w:val="en-US" w:eastAsia="zh-CN"/>
        </w:rPr>
        <w:t>1.48</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无弃方</w:t>
      </w:r>
      <w:r>
        <w:rPr>
          <w:rFonts w:hint="default" w:ascii="Times New Roman" w:hAnsi="Times New Roman" w:eastAsia="仿宋" w:cs="Times New Roman"/>
          <w:color w:val="auto"/>
          <w:spacing w:val="0"/>
          <w:w w:val="100"/>
          <w:position w:val="-2"/>
          <w:sz w:val="24"/>
          <w:szCs w:val="24"/>
          <w:lang w:val="en-US" w:eastAsia="zh-CN"/>
        </w:rPr>
        <w:t>。工程土石方变化的主要原因：工程在建设过程中，根据实际情况，优化施工工艺，减少土石方开挖量，道路开挖采用半挖半填，或将挖方用于道路低洼处回填；工程产生的临时堆土均为剥离的表土，施工后期用于绿化覆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0" w:name="_Toc15249"/>
      <w:bookmarkStart w:id="71" w:name="_Toc1809"/>
      <w:r>
        <w:rPr>
          <w:rFonts w:hint="default" w:ascii="Times New Roman" w:hAnsi="Times New Roman" w:eastAsia="仿宋" w:cs="Times New Roman"/>
          <w:b/>
          <w:bCs/>
          <w:color w:val="auto"/>
          <w:spacing w:val="0"/>
          <w:w w:val="100"/>
          <w:position w:val="-2"/>
          <w:sz w:val="30"/>
          <w:szCs w:val="30"/>
          <w:lang w:val="en-US" w:eastAsia="zh-CN"/>
        </w:rPr>
        <w:t>7.2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水土保持措施评价</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建设单位</w:t>
      </w:r>
      <w:r>
        <w:rPr>
          <w:rFonts w:hint="eastAsia" w:ascii="Times New Roman" w:hAnsi="Times New Roman" w:eastAsia="仿宋" w:cs="Times New Roman"/>
          <w:color w:val="auto"/>
          <w:spacing w:val="0"/>
          <w:w w:val="100"/>
          <w:position w:val="-2"/>
          <w:sz w:val="24"/>
          <w:szCs w:val="24"/>
          <w:lang w:val="en-US" w:eastAsia="zh-CN"/>
        </w:rPr>
        <w:t>对</w:t>
      </w:r>
      <w:r>
        <w:rPr>
          <w:rFonts w:hint="default" w:ascii="Times New Roman" w:hAnsi="Times New Roman" w:eastAsia="仿宋" w:cs="Times New Roman"/>
          <w:color w:val="auto"/>
          <w:spacing w:val="0"/>
          <w:w w:val="100"/>
          <w:position w:val="-2"/>
          <w:sz w:val="24"/>
          <w:szCs w:val="24"/>
          <w:lang w:val="en-US" w:eastAsia="zh-CN"/>
        </w:rPr>
        <w:t>水土保持工作比较重视，按照水土保持方案要求，及时跟进水土保持措施，在201</w:t>
      </w:r>
      <w:r>
        <w:rPr>
          <w:rFonts w:hint="eastAsia" w:ascii="Times New Roman" w:hAnsi="Times New Roman" w:eastAsia="仿宋" w:cs="Times New Roman"/>
          <w:color w:val="auto"/>
          <w:spacing w:val="0"/>
          <w:w w:val="100"/>
          <w:position w:val="-2"/>
          <w:sz w:val="24"/>
          <w:szCs w:val="24"/>
          <w:lang w:val="en-US" w:eastAsia="zh-CN"/>
        </w:rPr>
        <w:t>9</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月至20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w:t>
      </w:r>
      <w:r>
        <w:rPr>
          <w:rFonts w:hint="eastAsia" w:ascii="Times New Roman" w:hAnsi="Times New Roman" w:eastAsia="仿宋" w:cs="Times New Roman"/>
          <w:color w:val="auto"/>
          <w:spacing w:val="0"/>
          <w:w w:val="100"/>
          <w:position w:val="-2"/>
          <w:sz w:val="24"/>
          <w:szCs w:val="24"/>
          <w:lang w:val="en-US" w:eastAsia="zh-CN"/>
        </w:rPr>
        <w:t>间</w:t>
      </w:r>
      <w:r>
        <w:rPr>
          <w:rFonts w:hint="default" w:ascii="Times New Roman" w:hAnsi="Times New Roman" w:eastAsia="仿宋" w:cs="Times New Roman"/>
          <w:color w:val="auto"/>
          <w:spacing w:val="0"/>
          <w:w w:val="100"/>
          <w:position w:val="-2"/>
          <w:sz w:val="24"/>
          <w:szCs w:val="24"/>
          <w:lang w:val="en-US" w:eastAsia="zh-CN"/>
        </w:rPr>
        <w:t>，主要建成土地整治工程、拦渣工程、防洪导排工程、植被建设工程等。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完成主要工程量：雨水管网</w:t>
      </w:r>
      <w:r>
        <w:rPr>
          <w:rFonts w:hint="eastAsia" w:ascii="Times New Roman" w:hAnsi="Times New Roman" w:eastAsia="仿宋" w:cs="Times New Roman"/>
          <w:color w:val="auto"/>
          <w:spacing w:val="0"/>
          <w:w w:val="100"/>
          <w:position w:val="-2"/>
          <w:sz w:val="24"/>
          <w:szCs w:val="24"/>
          <w:lang w:val="en-US" w:eastAsia="zh-CN"/>
        </w:rPr>
        <w:t>1093m，雨水检查井7个，绿化覆土1026m3，铺透水砖307m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，景观绿化3800m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，彩条布覆盖1200m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，临时砖砌排水沟300m，砖砌沉砂池3个</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方案措施基本落实到位，防治措施基本到位。现各项水土保持设施运行良好，能够有效防治建设区因工程建设造成的水土流失，设施保土保水效果达到了水土保持方案报告书的设计目标。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2" w:name="_Toc21209"/>
      <w:bookmarkStart w:id="73" w:name="_Toc22745"/>
      <w:r>
        <w:rPr>
          <w:rFonts w:hint="default" w:ascii="Times New Roman" w:hAnsi="Times New Roman" w:eastAsia="仿宋" w:cs="Times New Roman"/>
          <w:b/>
          <w:bCs/>
          <w:color w:val="auto"/>
          <w:spacing w:val="0"/>
          <w:w w:val="100"/>
          <w:position w:val="-2"/>
          <w:sz w:val="30"/>
          <w:szCs w:val="30"/>
          <w:lang w:val="en-US" w:eastAsia="zh-CN"/>
        </w:rPr>
        <w:t>7.3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存在问题及建议</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7.3.1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存在的问题</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部分排水沟存在堵塞、排水效果欠佳</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7.3.2</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a）各水土流失防治分区中的排水沟均出现堵塞、破损的现象，建设单位应及时对排水沟进行清淤和修复，使其恢复正常的排水功能。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b）建设单位应及时对植物长势不佳区域进行补植；同时在今后运行过程中加强管理，进行必要的抚育，提高林草覆盖率，创造良好的生态环境。</w:t>
      </w:r>
      <w:bookmarkStart w:id="83" w:name="_GoBack"/>
      <w:bookmarkEnd w:id="8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c）总结水土保持措施实施的经验和教训，为运行期水土保持措施的维护提供指导，同时加强对水土保持设施的管理维护和植物养护，确保其发挥长远水土保持效益。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d）建议运营和管理单位组织管理人员加强水土保持知识的学习，树立人与自然和谐共处的良好生态意识，为水土保持工程长期稳定运行并发挥效益提供人员和技术保障。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e）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4" w:name="_Toc20442"/>
      <w:bookmarkStart w:id="75" w:name="_Toc1116"/>
      <w:r>
        <w:rPr>
          <w:rFonts w:hint="default" w:ascii="Times New Roman" w:hAnsi="Times New Roman" w:eastAsia="仿宋" w:cs="Times New Roman"/>
          <w:b/>
          <w:bCs/>
          <w:color w:val="auto"/>
          <w:spacing w:val="0"/>
          <w:w w:val="100"/>
          <w:position w:val="-2"/>
          <w:sz w:val="30"/>
          <w:szCs w:val="30"/>
          <w:lang w:val="en-US" w:eastAsia="zh-CN"/>
        </w:rPr>
        <w:t>7.4  综合结论</w:t>
      </w:r>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本项目水土保持方案报告书中确定的水土流失防治责任范围为</w:t>
      </w:r>
      <w:r>
        <w:rPr>
          <w:rFonts w:hint="eastAsia" w:ascii="Times New Roman" w:hAnsi="Times New Roman" w:eastAsia="仿宋" w:cs="Times New Roman"/>
          <w:color w:val="auto"/>
          <w:spacing w:val="0"/>
          <w:w w:val="100"/>
          <w:position w:val="-2"/>
          <w:sz w:val="24"/>
          <w:szCs w:val="24"/>
          <w:lang w:val="en-US" w:eastAsia="zh-CN"/>
        </w:rPr>
        <w:t>1.56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，建设期实际防治责任范围</w:t>
      </w:r>
      <w:r>
        <w:rPr>
          <w:rFonts w:hint="eastAsia" w:ascii="Times New Roman" w:hAnsi="Times New Roman" w:eastAsia="仿宋" w:cs="Times New Roman"/>
          <w:color w:val="auto"/>
          <w:spacing w:val="0"/>
          <w:w w:val="100"/>
          <w:position w:val="-2"/>
          <w:sz w:val="24"/>
          <w:szCs w:val="24"/>
          <w:lang w:val="en-US" w:eastAsia="zh-CN"/>
        </w:rPr>
        <w:t>1.56</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经统计，项目建设主要完成水土水土保持措施量为（工措、植措）：雨水管网</w:t>
      </w:r>
      <w:r>
        <w:rPr>
          <w:rFonts w:hint="eastAsia" w:ascii="Times New Roman" w:hAnsi="Times New Roman" w:eastAsia="仿宋" w:cs="Times New Roman"/>
          <w:color w:val="auto"/>
          <w:spacing w:val="0"/>
          <w:w w:val="100"/>
          <w:position w:val="-2"/>
          <w:sz w:val="24"/>
          <w:szCs w:val="24"/>
          <w:lang w:val="en-US" w:eastAsia="zh-CN"/>
        </w:rPr>
        <w:t>1093m，雨水检查井7个，绿化覆土1026m3，铺透水砖307m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，景观绿化3800m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，彩条布覆盖1200m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，临时砖砌排水沟300m，砖砌沉砂池3个</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通过对工程的水土保持监测成果分析，项目建设区域基本没有造成严重的水土流失危害，工程的排水、绿化等各类措施都已基本落实，有效的控制了水土流失。水土保持六项指标分别为：水土流失总治理度</w:t>
      </w:r>
      <w:r>
        <w:rPr>
          <w:rFonts w:hint="eastAsia" w:ascii="Times New Roman" w:hAnsi="Times New Roman" w:eastAsia="仿宋" w:cs="Times New Roman"/>
          <w:color w:val="auto"/>
          <w:spacing w:val="0"/>
          <w:w w:val="100"/>
          <w:position w:val="-2"/>
          <w:sz w:val="24"/>
          <w:szCs w:val="24"/>
          <w:lang w:val="en-US" w:eastAsia="zh-CN"/>
        </w:rPr>
        <w:t>99.36</w:t>
      </w:r>
      <w:r>
        <w:rPr>
          <w:rFonts w:hint="default" w:ascii="Times New Roman" w:hAnsi="Times New Roman" w:eastAsia="仿宋" w:cs="Times New Roman"/>
          <w:color w:val="auto"/>
          <w:spacing w:val="0"/>
          <w:w w:val="100"/>
          <w:position w:val="-2"/>
          <w:sz w:val="24"/>
          <w:szCs w:val="24"/>
          <w:lang w:val="en-US" w:eastAsia="zh-CN"/>
        </w:rPr>
        <w:t>%，土壤流失控制比达1.0</w:t>
      </w:r>
      <w:r>
        <w:rPr>
          <w:rFonts w:hint="eastAsia" w:ascii="Times New Roman" w:hAnsi="Times New Roman" w:eastAsia="仿宋" w:cs="Times New Roman"/>
          <w:color w:val="auto"/>
          <w:spacing w:val="0"/>
          <w:w w:val="100"/>
          <w:position w:val="-2"/>
          <w:sz w:val="24"/>
          <w:szCs w:val="24"/>
          <w:lang w:val="en-US" w:eastAsia="zh-CN"/>
        </w:rPr>
        <w:t>以上</w:t>
      </w:r>
      <w:r>
        <w:rPr>
          <w:rFonts w:hint="default" w:ascii="Times New Roman" w:hAnsi="Times New Roman" w:eastAsia="仿宋" w:cs="Times New Roman"/>
          <w:color w:val="auto"/>
          <w:spacing w:val="0"/>
          <w:w w:val="100"/>
          <w:position w:val="-2"/>
          <w:sz w:val="24"/>
          <w:szCs w:val="24"/>
          <w:lang w:val="en-US" w:eastAsia="zh-CN"/>
        </w:rPr>
        <w:t>，林草植被恢复率</w:t>
      </w:r>
      <w:r>
        <w:rPr>
          <w:rFonts w:hint="eastAsia" w:ascii="Times New Roman" w:hAnsi="Times New Roman" w:eastAsia="仿宋" w:cs="Times New Roman"/>
          <w:color w:val="auto"/>
          <w:spacing w:val="0"/>
          <w:w w:val="100"/>
          <w:position w:val="-2"/>
          <w:sz w:val="24"/>
          <w:szCs w:val="24"/>
          <w:lang w:val="en-US" w:eastAsia="zh-CN"/>
        </w:rPr>
        <w:t>97.44</w:t>
      </w:r>
      <w:r>
        <w:rPr>
          <w:rFonts w:hint="default" w:ascii="Times New Roman" w:hAnsi="Times New Roman" w:eastAsia="仿宋" w:cs="Times New Roman"/>
          <w:color w:val="auto"/>
          <w:spacing w:val="0"/>
          <w:w w:val="100"/>
          <w:position w:val="-2"/>
          <w:sz w:val="24"/>
          <w:szCs w:val="24"/>
          <w:lang w:val="en-US" w:eastAsia="zh-CN"/>
        </w:rPr>
        <w:t>%，林草覆盖率</w:t>
      </w:r>
      <w:r>
        <w:rPr>
          <w:rFonts w:hint="eastAsia" w:ascii="Times New Roman" w:hAnsi="Times New Roman" w:eastAsia="仿宋" w:cs="Times New Roman"/>
          <w:color w:val="auto"/>
          <w:spacing w:val="0"/>
          <w:w w:val="100"/>
          <w:position w:val="-2"/>
          <w:sz w:val="24"/>
          <w:szCs w:val="24"/>
          <w:lang w:val="en-US" w:eastAsia="zh-CN"/>
        </w:rPr>
        <w:t>24.36</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本项目不计算，表土保护率，渣土防护率。</w:t>
      </w:r>
      <w:r>
        <w:rPr>
          <w:rFonts w:hint="default" w:ascii="Times New Roman" w:hAnsi="Times New Roman" w:eastAsia="仿宋" w:cs="Times New Roman"/>
          <w:color w:val="auto"/>
          <w:spacing w:val="0"/>
          <w:w w:val="100"/>
          <w:position w:val="-2"/>
          <w:sz w:val="24"/>
          <w:szCs w:val="24"/>
          <w:lang w:val="en-US" w:eastAsia="zh-CN"/>
        </w:rPr>
        <w:t>防治责任范围内土壤侵蚀量呈下降趋势，至20</w:t>
      </w:r>
      <w:r>
        <w:rPr>
          <w:rFonts w:hint="eastAsia" w:ascii="Times New Roman" w:hAnsi="Times New Roman" w:eastAsia="仿宋" w:cs="Times New Roman"/>
          <w:color w:val="auto"/>
          <w:spacing w:val="0"/>
          <w:w w:val="100"/>
          <w:position w:val="-2"/>
          <w:sz w:val="24"/>
          <w:szCs w:val="24"/>
          <w:lang w:val="en-US" w:eastAsia="zh-CN"/>
        </w:rPr>
        <w:t>20</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lang w:val="en-US" w:eastAsia="zh-CN"/>
        </w:rPr>
        <w:t>月项目区平均土壤侵蚀模数达到50</w:t>
      </w:r>
      <w:r>
        <w:rPr>
          <w:rFonts w:hint="eastAsia" w:ascii="Times New Roman" w:hAnsi="Times New Roman" w:eastAsia="仿宋" w:cs="Times New Roman"/>
          <w:color w:val="auto"/>
          <w:spacing w:val="0"/>
          <w:w w:val="100"/>
          <w:position w:val="-2"/>
          <w:sz w:val="24"/>
          <w:szCs w:val="24"/>
          <w:lang w:val="en-US" w:eastAsia="zh-CN"/>
        </w:rPr>
        <w:t>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·a)，工程建设新增水土流失得到一定控制。已完成的水土保持设施布设基本完善，但存在工程措施部分损坏、植物措施恢复效果不理想的情况，局部仍存在水土流失现象。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auto"/>
          <w:spacing w:val="0"/>
          <w:w w:val="100"/>
          <w:position w:val="-2"/>
          <w:sz w:val="24"/>
          <w:szCs w:val="24"/>
          <w:lang w:val="en-US" w:eastAsia="zh-CN"/>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76" w:name="_Toc4726"/>
      <w:bookmarkStart w:id="77" w:name="_Toc8563"/>
      <w:r>
        <w:rPr>
          <w:rFonts w:hint="default" w:ascii="Times New Roman" w:hAnsi="Times New Roman" w:eastAsia="仿宋" w:cs="Times New Roman"/>
          <w:b/>
          <w:bCs/>
          <w:color w:val="auto"/>
          <w:spacing w:val="0"/>
          <w:w w:val="100"/>
          <w:position w:val="-2"/>
          <w:sz w:val="32"/>
          <w:szCs w:val="32"/>
          <w:lang w:val="en-US" w:eastAsia="zh-CN"/>
        </w:rPr>
        <w:t>8</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水土保持监测附录</w:t>
      </w:r>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8" w:name="_Toc22324"/>
      <w:bookmarkStart w:id="79" w:name="_Toc9406"/>
      <w:r>
        <w:rPr>
          <w:rFonts w:hint="default" w:ascii="Times New Roman" w:hAnsi="Times New Roman" w:eastAsia="仿宋" w:cs="Times New Roman"/>
          <w:b/>
          <w:bCs/>
          <w:color w:val="auto"/>
          <w:spacing w:val="0"/>
          <w:w w:val="100"/>
          <w:position w:val="-2"/>
          <w:sz w:val="30"/>
          <w:szCs w:val="30"/>
          <w:lang w:val="en-US" w:eastAsia="zh-CN"/>
        </w:rPr>
        <w:t xml:space="preserve">8.1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附件</w:t>
      </w:r>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（2）项目备案证明；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（3）水土保持补偿费。</w:t>
      </w:r>
    </w:p>
    <w:p>
      <w:pPr>
        <w:pStyle w:val="2"/>
        <w:rPr>
          <w:rFonts w:hint="default"/>
          <w:color w:val="auto"/>
          <w:lang w:val="en-US" w:eastAsia="zh-CN"/>
        </w:rPr>
      </w:pPr>
      <w:r>
        <w:rPr>
          <w:rFonts w:hint="eastAsia" w:ascii="Times New Roman" w:hAnsi="Times New Roman" w:eastAsia="仿宋" w:cs="Times New Roman"/>
          <w:color w:val="auto"/>
          <w:spacing w:val="0"/>
          <w:w w:val="100"/>
          <w:position w:val="-2"/>
          <w:sz w:val="24"/>
          <w:szCs w:val="24"/>
          <w:lang w:val="en-US" w:eastAsia="zh-CN"/>
        </w:rPr>
        <w:t>（4）三色评价表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80" w:name="_Toc7896"/>
      <w:bookmarkStart w:id="81" w:name="_Toc30455"/>
      <w:r>
        <w:rPr>
          <w:rFonts w:hint="default" w:ascii="Times New Roman" w:hAnsi="Times New Roman" w:eastAsia="仿宋" w:cs="Times New Roman"/>
          <w:b/>
          <w:bCs/>
          <w:color w:val="auto"/>
          <w:spacing w:val="0"/>
          <w:w w:val="100"/>
          <w:position w:val="-2"/>
          <w:sz w:val="30"/>
          <w:szCs w:val="30"/>
          <w:lang w:val="en-US" w:eastAsia="zh-CN"/>
        </w:rPr>
        <w:t>8.2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附图</w:t>
      </w:r>
      <w:bookmarkEnd w:id="80"/>
      <w:bookmarkEnd w:id="81"/>
    </w:p>
    <w:p>
      <w:pPr>
        <w:keepNext w:val="0"/>
        <w:keepLines w:val="0"/>
        <w:pageBreakBefore w:val="0"/>
        <w:widowControl w:val="0"/>
        <w:numPr>
          <w:ilvl w:val="0"/>
          <w:numId w:val="8"/>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监测图集</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（2）工程地理位置图；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（3）水土保持监测点布置平面图</w:t>
      </w:r>
      <w:r>
        <w:rPr>
          <w:rFonts w:hint="eastAsia" w:ascii="Times New Roman" w:hAnsi="Times New Roman" w:eastAsia="仿宋" w:cs="Times New Roman"/>
          <w:color w:val="auto"/>
          <w:spacing w:val="0"/>
          <w:w w:val="100"/>
          <w:position w:val="-2"/>
          <w:sz w:val="24"/>
          <w:szCs w:val="24"/>
          <w:lang w:val="en-US" w:eastAsia="zh-CN"/>
        </w:rPr>
        <w:t>。</w:t>
      </w:r>
    </w:p>
    <w:p>
      <w:pPr>
        <w:pStyle w:val="2"/>
        <w:rPr>
          <w:rFonts w:hint="eastAsia"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eastAsia" w:ascii="Times New Roman" w:hAnsi="Times New Roman" w:eastAsia="仿宋" w:cs="Times New Roman"/>
          <w:color w:val="auto"/>
          <w:spacing w:val="0"/>
          <w:w w:val="100"/>
          <w:position w:val="-2"/>
          <w:sz w:val="24"/>
          <w:szCs w:val="24"/>
          <w:lang w:val="en-US" w:eastAsia="zh-CN"/>
        </w:rPr>
      </w:pPr>
    </w:p>
    <w:p>
      <w:pPr>
        <w:pStyle w:val="2"/>
        <w:rPr>
          <w:rFonts w:hint="eastAsia" w:ascii="Times New Roman" w:hAnsi="Times New Roman" w:eastAsia="仿宋" w:cs="Times New Roman"/>
          <w:color w:val="auto"/>
          <w:spacing w:val="0"/>
          <w:w w:val="100"/>
          <w:position w:val="-2"/>
          <w:sz w:val="24"/>
          <w:szCs w:val="24"/>
          <w:lang w:val="en-US" w:eastAsia="zh-CN"/>
        </w:rPr>
      </w:pPr>
    </w:p>
    <w:p>
      <w:pPr>
        <w:pStyle w:val="2"/>
        <w:rPr>
          <w:rFonts w:hint="eastAsia" w:ascii="Times New Roman" w:hAnsi="Times New Roman" w:eastAsia="仿宋" w:cs="Times New Roman"/>
          <w:color w:val="auto"/>
          <w:spacing w:val="0"/>
          <w:w w:val="100"/>
          <w:position w:val="-2"/>
          <w:sz w:val="24"/>
          <w:szCs w:val="24"/>
          <w:lang w:val="en-US" w:eastAsia="zh-CN"/>
        </w:rPr>
      </w:pPr>
    </w:p>
    <w:p>
      <w:pPr>
        <w:pStyle w:val="8"/>
        <w:rPr>
          <w:rFonts w:hint="eastAsia" w:eastAsia="仿宋" w:cs="Times New Roman"/>
          <w:color w:val="auto"/>
          <w:lang w:val="en-US" w:eastAsia="zh-CN"/>
        </w:rPr>
      </w:pPr>
      <w:bookmarkStart w:id="82" w:name="_Toc12700"/>
      <w:r>
        <w:rPr>
          <w:rFonts w:hint="eastAsia" w:eastAsia="仿宋" w:cs="Times New Roman"/>
          <w:color w:val="auto"/>
          <w:lang w:val="en-US" w:eastAsia="zh-CN"/>
        </w:rPr>
        <w:t xml:space="preserve">  生产建设项目水土保持监测三色评价指标及赋分表</w:t>
      </w:r>
      <w:bookmarkEnd w:id="82"/>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215"/>
        <w:gridCol w:w="1110"/>
        <w:gridCol w:w="1050"/>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项目名称</w:t>
            </w:r>
          </w:p>
        </w:tc>
        <w:tc>
          <w:tcPr>
            <w:tcW w:w="653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vertAlign w:val="baseline"/>
                <w:lang w:val="en-US" w:eastAsia="zh-CN"/>
              </w:rPr>
            </w:pPr>
            <w:r>
              <w:rPr>
                <w:rFonts w:hint="eastAsia" w:eastAsia="仿宋" w:cs="Times New Roman"/>
                <w:b w:val="0"/>
                <w:bCs w:val="0"/>
                <w:color w:val="auto"/>
                <w:sz w:val="21"/>
                <w:szCs w:val="21"/>
                <w:lang w:eastAsia="zh-CN"/>
              </w:rPr>
              <w:t>三江侗天宫景区项目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9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监测时段和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防治责任范围</w:t>
            </w:r>
          </w:p>
        </w:tc>
        <w:tc>
          <w:tcPr>
            <w:tcW w:w="653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u w:val="single"/>
                <w:vertAlign w:val="baseline"/>
                <w:lang w:val="en-US" w:eastAsia="zh-CN"/>
              </w:rPr>
              <w:t xml:space="preserve">2019 </w:t>
            </w:r>
            <w:r>
              <w:rPr>
                <w:rFonts w:hint="eastAsia" w:ascii="Times New Roman" w:hAnsi="Times New Roman" w:eastAsia="仿宋" w:cs="Times New Roman"/>
                <w:color w:val="auto"/>
                <w:sz w:val="24"/>
                <w:szCs w:val="24"/>
                <w:vertAlign w:val="baseline"/>
                <w:lang w:val="en-US" w:eastAsia="zh-CN"/>
              </w:rPr>
              <w:t>年</w:t>
            </w:r>
            <w:r>
              <w:rPr>
                <w:rFonts w:hint="eastAsia" w:ascii="Times New Roman" w:hAnsi="Times New Roman" w:eastAsia="仿宋" w:cs="Times New Roman"/>
                <w:color w:val="auto"/>
                <w:sz w:val="24"/>
                <w:szCs w:val="24"/>
                <w:u w:val="single"/>
                <w:vertAlign w:val="baseline"/>
                <w:lang w:val="en-US" w:eastAsia="zh-CN"/>
              </w:rPr>
              <w:t xml:space="preserve"> </w:t>
            </w:r>
            <w:r>
              <w:rPr>
                <w:rFonts w:hint="eastAsia" w:eastAsia="仿宋" w:cs="Times New Roman"/>
                <w:color w:val="auto"/>
                <w:sz w:val="24"/>
                <w:szCs w:val="24"/>
                <w:u w:val="single"/>
                <w:vertAlign w:val="baseline"/>
                <w:lang w:val="en-US" w:eastAsia="zh-CN"/>
              </w:rPr>
              <w:t>4月至2020年12月</w:t>
            </w:r>
            <w:r>
              <w:rPr>
                <w:rFonts w:hint="eastAsia" w:ascii="Times New Roman" w:hAnsi="Times New Roman" w:eastAsia="仿宋" w:cs="Times New Roman"/>
                <w:color w:val="auto"/>
                <w:sz w:val="24"/>
                <w:szCs w:val="24"/>
                <w:vertAlign w:val="baseline"/>
                <w:lang w:val="en-US" w:eastAsia="zh-CN"/>
              </w:rPr>
              <w:t>，</w:t>
            </w:r>
            <w:r>
              <w:rPr>
                <w:rFonts w:hint="eastAsia" w:eastAsia="仿宋" w:cs="Times New Roman"/>
                <w:color w:val="auto"/>
                <w:sz w:val="24"/>
                <w:szCs w:val="24"/>
                <w:u w:val="single"/>
                <w:vertAlign w:val="baseline"/>
                <w:lang w:val="en-US" w:eastAsia="zh-CN"/>
              </w:rPr>
              <w:t>1.56</w:t>
            </w:r>
            <w:r>
              <w:rPr>
                <w:rFonts w:hint="eastAsia" w:ascii="Times New Roman" w:hAnsi="Times New Roman" w:eastAsia="仿宋" w:cs="Times New Roman"/>
                <w:color w:val="auto"/>
                <w:sz w:val="24"/>
                <w:szCs w:val="24"/>
                <w:vertAlign w:val="baseline"/>
                <w:lang w:val="en-US" w:eastAsia="zh-CN"/>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9"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三色评价结论（勾选）</w:t>
            </w:r>
          </w:p>
        </w:tc>
        <w:tc>
          <w:tcPr>
            <w:tcW w:w="6533"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绿色</w:t>
            </w:r>
            <w:r>
              <w:rPr>
                <w:rFonts w:hint="eastAsia" w:eastAsia="仿宋" w:cs="Times New Roman"/>
                <w:b w:val="0"/>
                <w:bCs w:val="0"/>
                <w:color w:val="auto"/>
                <w:kern w:val="0"/>
                <w:sz w:val="21"/>
                <w:szCs w:val="21"/>
                <w:lang w:val="en-US" w:eastAsia="zh-CN"/>
              </w:rPr>
              <w:t>☑</w:t>
            </w:r>
            <w:r>
              <w:rPr>
                <w:rFonts w:hint="eastAsia" w:ascii="Times New Roman" w:hAnsi="Times New Roman" w:eastAsia="仿宋" w:cs="Times New Roman"/>
                <w:b w:val="0"/>
                <w:bCs w:val="0"/>
                <w:color w:val="auto"/>
                <w:kern w:val="0"/>
                <w:sz w:val="21"/>
                <w:szCs w:val="21"/>
                <w:lang w:val="en-US" w:eastAsia="zh-CN"/>
              </w:rPr>
              <w:t xml:space="preserve">        黄色□       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9"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评价指标</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分值</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得分</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赋分说明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扰动</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土地</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情况</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扰动范围</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控制</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15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15</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扰动范围未超出批复面积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c>
          <w:tcPr>
            <w:tcW w:w="1215"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表土剥离</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保护</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5</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项目</w:t>
            </w:r>
            <w:r>
              <w:rPr>
                <w:rFonts w:hint="eastAsia" w:eastAsia="仿宋" w:cs="Times New Roman"/>
                <w:b w:val="0"/>
                <w:bCs w:val="0"/>
                <w:color w:val="auto"/>
                <w:kern w:val="0"/>
                <w:sz w:val="21"/>
                <w:szCs w:val="21"/>
                <w:lang w:val="en-US" w:eastAsia="zh-CN"/>
              </w:rPr>
              <w:t>表土保护措施已实施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c>
          <w:tcPr>
            <w:tcW w:w="1215"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弃土（石渣）堆放</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15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15</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项目弃渣场均为水保方案确定的专门存放地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9"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水土流失状况</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15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15</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土壤流失量不足 100m³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水土</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流失</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防止</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成效</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工程措施</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20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18</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据现场调查情况，</w:t>
            </w:r>
            <w:r>
              <w:rPr>
                <w:rFonts w:hint="eastAsia" w:eastAsia="仿宋" w:cs="Times New Roman"/>
                <w:b w:val="0"/>
                <w:bCs w:val="0"/>
                <w:color w:val="auto"/>
                <w:kern w:val="0"/>
                <w:sz w:val="21"/>
                <w:szCs w:val="21"/>
                <w:lang w:val="en-US" w:eastAsia="zh-CN"/>
              </w:rPr>
              <w:t>存在1处工程措施落实不及时情况，</w:t>
            </w:r>
            <w:r>
              <w:rPr>
                <w:rFonts w:hint="default" w:ascii="Times New Roman" w:hAnsi="Times New Roman" w:eastAsia="仿宋" w:cs="Times New Roman"/>
                <w:b w:val="0"/>
                <w:bCs w:val="0"/>
                <w:color w:val="auto"/>
                <w:kern w:val="0"/>
                <w:sz w:val="21"/>
                <w:szCs w:val="21"/>
                <w:lang w:val="en-US" w:eastAsia="zh-CN"/>
              </w:rPr>
              <w:t>参照（办水保</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〔2020〕161 号）附表 2 的说明应扣除</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2</w:t>
            </w:r>
            <w:r>
              <w:rPr>
                <w:rFonts w:hint="default" w:ascii="Times New Roman" w:hAnsi="Times New Roman" w:eastAsia="仿宋" w:cs="Times New Roman"/>
                <w:b w:val="0"/>
                <w:bCs w:val="0"/>
                <w:color w:val="auto"/>
                <w:kern w:val="0"/>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c>
          <w:tcPr>
            <w:tcW w:w="1215"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植物措施</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15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11</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据现场调查情况，项目区</w:t>
            </w:r>
            <w:r>
              <w:rPr>
                <w:rFonts w:hint="eastAsia" w:eastAsia="仿宋" w:cs="Times New Roman"/>
                <w:b w:val="0"/>
                <w:bCs w:val="0"/>
                <w:color w:val="auto"/>
                <w:kern w:val="0"/>
                <w:sz w:val="21"/>
                <w:szCs w:val="21"/>
                <w:lang w:val="en-US" w:eastAsia="zh-CN"/>
              </w:rPr>
              <w:t>存在2处植物措施未落实情况</w:t>
            </w:r>
            <w:r>
              <w:rPr>
                <w:rFonts w:hint="default" w:ascii="Times New Roman" w:hAnsi="Times New Roman" w:eastAsia="仿宋" w:cs="Times New Roman"/>
                <w:b w:val="0"/>
                <w:bCs w:val="0"/>
                <w:color w:val="auto"/>
                <w:kern w:val="0"/>
                <w:sz w:val="21"/>
                <w:szCs w:val="21"/>
                <w:lang w:val="en-US" w:eastAsia="zh-CN"/>
              </w:rPr>
              <w:t>。参照（办水保</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〔2020〕161 号）附表 2 的说明应扣除</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4</w:t>
            </w:r>
            <w:r>
              <w:rPr>
                <w:rFonts w:hint="default" w:ascii="Times New Roman" w:hAnsi="Times New Roman" w:eastAsia="仿宋" w:cs="Times New Roman"/>
                <w:b w:val="0"/>
                <w:bCs w:val="0"/>
                <w:color w:val="auto"/>
                <w:kern w:val="0"/>
                <w:sz w:val="21"/>
                <w:szCs w:val="21"/>
                <w:lang w:val="en-US" w:eastAsia="zh-CN"/>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c>
          <w:tcPr>
            <w:tcW w:w="1215"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临时措施</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10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8</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据现场调查情况，项目区</w:t>
            </w:r>
            <w:r>
              <w:rPr>
                <w:rFonts w:hint="eastAsia" w:eastAsia="仿宋" w:cs="Times New Roman"/>
                <w:b w:val="0"/>
                <w:bCs w:val="0"/>
                <w:color w:val="auto"/>
                <w:kern w:val="0"/>
                <w:sz w:val="21"/>
                <w:szCs w:val="21"/>
                <w:lang w:val="en-US" w:eastAsia="zh-CN"/>
              </w:rPr>
              <w:t>存在1处临时防护措施落实不及时情况</w:t>
            </w:r>
            <w:r>
              <w:rPr>
                <w:rFonts w:hint="default" w:ascii="Times New Roman" w:hAnsi="Times New Roman" w:eastAsia="仿宋" w:cs="Times New Roman"/>
                <w:b w:val="0"/>
                <w:bCs w:val="0"/>
                <w:color w:val="auto"/>
                <w:kern w:val="0"/>
                <w:sz w:val="21"/>
                <w:szCs w:val="21"/>
                <w:lang w:val="en-US" w:eastAsia="zh-CN"/>
              </w:rPr>
              <w:t>。参照（办水保</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〔2020〕161 号）附表 2 的说明应扣除</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2</w:t>
            </w:r>
            <w:r>
              <w:rPr>
                <w:rFonts w:hint="default" w:ascii="Times New Roman" w:hAnsi="Times New Roman" w:eastAsia="仿宋" w:cs="Times New Roman"/>
                <w:b w:val="0"/>
                <w:bCs w:val="0"/>
                <w:color w:val="auto"/>
                <w:kern w:val="0"/>
                <w:sz w:val="21"/>
                <w:szCs w:val="21"/>
                <w:lang w:val="en-US" w:eastAsia="zh-CN"/>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9"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水土流失危害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5</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项目实际建设过程中未发生水土流失</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危害事件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9"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合计</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100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92</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r>
    </w:tbl>
    <w:p>
      <w:pPr>
        <w:pStyle w:val="2"/>
        <w:rPr>
          <w:rFonts w:hint="default" w:ascii="Times New Roman" w:hAnsi="Times New Roman" w:eastAsia="仿宋" w:cs="Times New Roman"/>
          <w:color w:val="auto"/>
          <w:spacing w:val="0"/>
          <w:w w:val="100"/>
          <w:position w:val="-2"/>
          <w:sz w:val="24"/>
          <w:szCs w:val="24"/>
          <w:lang w:val="en-US" w:eastAsia="zh-CN"/>
        </w:rPr>
      </w:pPr>
    </w:p>
    <w:sectPr>
      <w:pgSz w:w="11923" w:h="16838"/>
      <w:pgMar w:top="1140" w:right="1321" w:bottom="1202" w:left="1298" w:header="567" w:footer="850" w:gutter="0"/>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val="en-US" w:eastAsia="zh-CN"/>
      </w:rPr>
      <w:t>南宁赛伦沃特工程咨询</w:t>
    </w:r>
    <w:r>
      <w:rPr>
        <w:rFonts w:hint="eastAsia" w:ascii="仿宋" w:hAnsi="仿宋" w:eastAsia="仿宋" w:cs="仿宋"/>
        <w:sz w:val="21"/>
        <w:szCs w:val="21"/>
        <w:lang w:eastAsia="zh-CN"/>
      </w:rPr>
      <w:t>有限公司</w:t>
    </w:r>
    <w:r>
      <w:rPr>
        <w:sz w:val="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val="en-US" w:eastAsia="zh-CN"/>
      </w:rPr>
      <w:t>南宁赛伦沃特工程咨询有限公司</w:t>
    </w:r>
    <w:r>
      <w:rPr>
        <w:sz w:val="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eastAsiaTheme="minor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hint="eastAsia" w:eastAsiaTheme="minorEastAsia"/>
        <w:sz w:val="18"/>
        <w:szCs w:val="18"/>
        <w:lang w:val="en-US" w:eastAsia="zh-CN"/>
      </w:rPr>
    </w:pPr>
    <w:r>
      <w:rPr>
        <w:rFonts w:hint="eastAsia" w:ascii="仿宋" w:hAnsi="仿宋" w:eastAsia="仿宋" w:cs="仿宋"/>
        <w:sz w:val="18"/>
        <w:szCs w:val="18"/>
        <w:lang w:eastAsia="zh-CN"/>
      </w:rPr>
      <w:t>三江侗天宫景区项目</w:t>
    </w:r>
    <w:r>
      <w:rPr>
        <w:rFonts w:hint="eastAsia" w:ascii="仿宋" w:hAnsi="仿宋" w:eastAsia="仿宋" w:cs="仿宋"/>
        <w:sz w:val="18"/>
        <w:szCs w:val="18"/>
        <w:lang w:val="en-US" w:eastAsia="zh-CN"/>
      </w:rPr>
      <w:t>水土保持监测总结报告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hint="eastAsia" w:ascii="仿宋" w:hAnsi="仿宋" w:eastAsia="仿宋" w:cs="仿宋"/>
        <w:sz w:val="21"/>
        <w:szCs w:val="21"/>
      </w:rPr>
    </w:pPr>
    <w:r>
      <w:rPr>
        <w:rFonts w:hint="eastAsia" w:ascii="仿宋" w:hAnsi="仿宋" w:eastAsia="仿宋" w:cs="仿宋"/>
        <w:sz w:val="21"/>
        <w:szCs w:val="21"/>
        <w:lang w:eastAsia="zh-CN"/>
      </w:rPr>
      <w:t>三江侗天宫景区项目</w:t>
    </w:r>
    <w:r>
      <w:rPr>
        <w:rFonts w:hint="eastAsia" w:ascii="仿宋" w:hAnsi="仿宋" w:eastAsia="仿宋" w:cs="仿宋"/>
        <w:sz w:val="21"/>
        <w:szCs w:val="21"/>
        <w:lang w:val="en-US" w:eastAsia="zh-CN"/>
      </w:rPr>
      <w:t>水土保持监测总结报告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C5929"/>
    <w:multiLevelType w:val="singleLevel"/>
    <w:tmpl w:val="961C5929"/>
    <w:lvl w:ilvl="0" w:tentative="0">
      <w:start w:val="1"/>
      <w:numFmt w:val="decimal"/>
      <w:suff w:val="nothing"/>
      <w:lvlText w:val="（%1）"/>
      <w:lvlJc w:val="left"/>
    </w:lvl>
  </w:abstractNum>
  <w:abstractNum w:abstractNumId="1">
    <w:nsid w:val="9B23E35B"/>
    <w:multiLevelType w:val="singleLevel"/>
    <w:tmpl w:val="9B23E35B"/>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B56B6C23"/>
    <w:multiLevelType w:val="singleLevel"/>
    <w:tmpl w:val="B56B6C23"/>
    <w:lvl w:ilvl="0" w:tentative="0">
      <w:start w:val="1"/>
      <w:numFmt w:val="decimal"/>
      <w:suff w:val="nothing"/>
      <w:lvlText w:val="（%1）"/>
      <w:lvlJc w:val="left"/>
    </w:lvl>
  </w:abstractNum>
  <w:abstractNum w:abstractNumId="4">
    <w:nsid w:val="F358BE6D"/>
    <w:multiLevelType w:val="singleLevel"/>
    <w:tmpl w:val="F358BE6D"/>
    <w:lvl w:ilvl="0" w:tentative="0">
      <w:start w:val="1"/>
      <w:numFmt w:val="decimal"/>
      <w:suff w:val="nothing"/>
      <w:lvlText w:val="（%1）"/>
      <w:lvlJc w:val="left"/>
    </w:lvl>
  </w:abstractNum>
  <w:abstractNum w:abstractNumId="5">
    <w:nsid w:val="FD7C2E14"/>
    <w:multiLevelType w:val="singleLevel"/>
    <w:tmpl w:val="FD7C2E14"/>
    <w:lvl w:ilvl="0" w:tentative="0">
      <w:start w:val="1"/>
      <w:numFmt w:val="decimal"/>
      <w:suff w:val="nothing"/>
      <w:lvlText w:val="（%1）"/>
      <w:lvlJc w:val="left"/>
    </w:lvl>
  </w:abstractNum>
  <w:abstractNum w:abstractNumId="6">
    <w:nsid w:val="5B7607E1"/>
    <w:multiLevelType w:val="singleLevel"/>
    <w:tmpl w:val="5B7607E1"/>
    <w:lvl w:ilvl="0" w:tentative="0">
      <w:start w:val="1"/>
      <w:numFmt w:val="lowerLetter"/>
      <w:suff w:val="nothing"/>
      <w:lvlText w:val="%1）"/>
      <w:lvlJc w:val="left"/>
    </w:lvl>
  </w:abstractNum>
  <w:abstractNum w:abstractNumId="7">
    <w:nsid w:val="6F711BD3"/>
    <w:multiLevelType w:val="singleLevel"/>
    <w:tmpl w:val="6F711BD3"/>
    <w:lvl w:ilvl="0" w:tentative="0">
      <w:start w:val="1"/>
      <w:numFmt w:val="lowerLetter"/>
      <w:suff w:val="nothing"/>
      <w:lvlText w:val="%1）"/>
      <w:lvlJc w:val="left"/>
    </w:lvl>
  </w:abstractNum>
  <w:num w:numId="1">
    <w:abstractNumId w:val="0"/>
  </w:num>
  <w:num w:numId="2">
    <w:abstractNumId w:val="7"/>
  </w:num>
  <w:num w:numId="3">
    <w:abstractNumId w:val="2"/>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7542"/>
    <w:rsid w:val="002D5C3A"/>
    <w:rsid w:val="00D84379"/>
    <w:rsid w:val="016E1C7A"/>
    <w:rsid w:val="01736444"/>
    <w:rsid w:val="01955983"/>
    <w:rsid w:val="019A6F4D"/>
    <w:rsid w:val="01F9797A"/>
    <w:rsid w:val="02182D7D"/>
    <w:rsid w:val="02826C98"/>
    <w:rsid w:val="032731B5"/>
    <w:rsid w:val="03821C70"/>
    <w:rsid w:val="03A60ECB"/>
    <w:rsid w:val="03FE2DB3"/>
    <w:rsid w:val="041D3920"/>
    <w:rsid w:val="04205309"/>
    <w:rsid w:val="042F27EC"/>
    <w:rsid w:val="048266D4"/>
    <w:rsid w:val="04967D6D"/>
    <w:rsid w:val="04C3484C"/>
    <w:rsid w:val="04CE3AF1"/>
    <w:rsid w:val="04E34AE3"/>
    <w:rsid w:val="04FA57E0"/>
    <w:rsid w:val="0523593F"/>
    <w:rsid w:val="05626862"/>
    <w:rsid w:val="056A6233"/>
    <w:rsid w:val="06247266"/>
    <w:rsid w:val="068B4E57"/>
    <w:rsid w:val="06B41652"/>
    <w:rsid w:val="06CE6691"/>
    <w:rsid w:val="070B6A92"/>
    <w:rsid w:val="07124FCC"/>
    <w:rsid w:val="071851A9"/>
    <w:rsid w:val="071E17C2"/>
    <w:rsid w:val="07364024"/>
    <w:rsid w:val="074B429A"/>
    <w:rsid w:val="07734315"/>
    <w:rsid w:val="078E2D8F"/>
    <w:rsid w:val="07C90BEA"/>
    <w:rsid w:val="07E51109"/>
    <w:rsid w:val="08361D9D"/>
    <w:rsid w:val="0854439A"/>
    <w:rsid w:val="086B0C5E"/>
    <w:rsid w:val="08B552FA"/>
    <w:rsid w:val="08EB39A1"/>
    <w:rsid w:val="0936180B"/>
    <w:rsid w:val="093F2694"/>
    <w:rsid w:val="096D29FE"/>
    <w:rsid w:val="09872D68"/>
    <w:rsid w:val="09880CA5"/>
    <w:rsid w:val="09B45C79"/>
    <w:rsid w:val="0A2566E9"/>
    <w:rsid w:val="0A546BB6"/>
    <w:rsid w:val="0A8C1CE5"/>
    <w:rsid w:val="0A925A66"/>
    <w:rsid w:val="0AF95BD1"/>
    <w:rsid w:val="0B253A11"/>
    <w:rsid w:val="0B5477A1"/>
    <w:rsid w:val="0B555DA4"/>
    <w:rsid w:val="0B6171BA"/>
    <w:rsid w:val="0B9D2B6B"/>
    <w:rsid w:val="0BDB2E66"/>
    <w:rsid w:val="0CBB657F"/>
    <w:rsid w:val="0CBE5A84"/>
    <w:rsid w:val="0D1033CF"/>
    <w:rsid w:val="0D9D3CF0"/>
    <w:rsid w:val="0DA26A0B"/>
    <w:rsid w:val="0DEA3F9D"/>
    <w:rsid w:val="0DED0D32"/>
    <w:rsid w:val="0E9E77E3"/>
    <w:rsid w:val="0EA600A7"/>
    <w:rsid w:val="0EA609E0"/>
    <w:rsid w:val="0EAA7092"/>
    <w:rsid w:val="0EB50618"/>
    <w:rsid w:val="0EB9261A"/>
    <w:rsid w:val="0EBF21BF"/>
    <w:rsid w:val="0ECD249E"/>
    <w:rsid w:val="0EE04EA0"/>
    <w:rsid w:val="0F2B3F06"/>
    <w:rsid w:val="0F532903"/>
    <w:rsid w:val="0F8C18E6"/>
    <w:rsid w:val="0FA0457E"/>
    <w:rsid w:val="10323F79"/>
    <w:rsid w:val="1054250D"/>
    <w:rsid w:val="10BD5043"/>
    <w:rsid w:val="10C02701"/>
    <w:rsid w:val="10C36965"/>
    <w:rsid w:val="10E11CA6"/>
    <w:rsid w:val="10F35BB5"/>
    <w:rsid w:val="10FF3906"/>
    <w:rsid w:val="11012777"/>
    <w:rsid w:val="113933F0"/>
    <w:rsid w:val="11A938D7"/>
    <w:rsid w:val="11CA17D6"/>
    <w:rsid w:val="1227012E"/>
    <w:rsid w:val="124600D2"/>
    <w:rsid w:val="12A218C7"/>
    <w:rsid w:val="13045863"/>
    <w:rsid w:val="131154BF"/>
    <w:rsid w:val="131F0AE2"/>
    <w:rsid w:val="13351B06"/>
    <w:rsid w:val="13383AC6"/>
    <w:rsid w:val="133F0A6B"/>
    <w:rsid w:val="13575560"/>
    <w:rsid w:val="1364073E"/>
    <w:rsid w:val="1395654A"/>
    <w:rsid w:val="13E4509D"/>
    <w:rsid w:val="141E6298"/>
    <w:rsid w:val="14360D6D"/>
    <w:rsid w:val="14386242"/>
    <w:rsid w:val="147B47E9"/>
    <w:rsid w:val="149166F8"/>
    <w:rsid w:val="14C72A61"/>
    <w:rsid w:val="14EC2FE3"/>
    <w:rsid w:val="14EE187D"/>
    <w:rsid w:val="1539628F"/>
    <w:rsid w:val="1588319D"/>
    <w:rsid w:val="15E174B2"/>
    <w:rsid w:val="160B41FC"/>
    <w:rsid w:val="1644447E"/>
    <w:rsid w:val="16543CF8"/>
    <w:rsid w:val="16662EE0"/>
    <w:rsid w:val="16B8564F"/>
    <w:rsid w:val="16F10FB0"/>
    <w:rsid w:val="16FD7C1F"/>
    <w:rsid w:val="175875EC"/>
    <w:rsid w:val="178C2C88"/>
    <w:rsid w:val="17A53288"/>
    <w:rsid w:val="17B06573"/>
    <w:rsid w:val="17B67220"/>
    <w:rsid w:val="17C95241"/>
    <w:rsid w:val="17E44072"/>
    <w:rsid w:val="17EE44CB"/>
    <w:rsid w:val="18037904"/>
    <w:rsid w:val="1838557D"/>
    <w:rsid w:val="18964E8B"/>
    <w:rsid w:val="189B453F"/>
    <w:rsid w:val="18FE4043"/>
    <w:rsid w:val="190702B2"/>
    <w:rsid w:val="192B7323"/>
    <w:rsid w:val="19435D9E"/>
    <w:rsid w:val="195372C1"/>
    <w:rsid w:val="19E95FC8"/>
    <w:rsid w:val="19F62FC6"/>
    <w:rsid w:val="19FA69DF"/>
    <w:rsid w:val="1A5930F9"/>
    <w:rsid w:val="1A9C793D"/>
    <w:rsid w:val="1AC00914"/>
    <w:rsid w:val="1AF5436F"/>
    <w:rsid w:val="1B031382"/>
    <w:rsid w:val="1B0E7DD6"/>
    <w:rsid w:val="1B5F2D0E"/>
    <w:rsid w:val="1B8D4B5C"/>
    <w:rsid w:val="1BD549E1"/>
    <w:rsid w:val="1BF41C85"/>
    <w:rsid w:val="1CA707F6"/>
    <w:rsid w:val="1CDD6277"/>
    <w:rsid w:val="1D160AFE"/>
    <w:rsid w:val="1D52263F"/>
    <w:rsid w:val="1D917E9D"/>
    <w:rsid w:val="1DC95C53"/>
    <w:rsid w:val="1DEA3B3F"/>
    <w:rsid w:val="1DF12551"/>
    <w:rsid w:val="1E705F12"/>
    <w:rsid w:val="1E966500"/>
    <w:rsid w:val="1ECA259B"/>
    <w:rsid w:val="1ECB0F9D"/>
    <w:rsid w:val="1EDC71D8"/>
    <w:rsid w:val="1EE979F0"/>
    <w:rsid w:val="1F6942A4"/>
    <w:rsid w:val="1F8B57AA"/>
    <w:rsid w:val="1FF11F6F"/>
    <w:rsid w:val="20165D78"/>
    <w:rsid w:val="202433D2"/>
    <w:rsid w:val="2063595D"/>
    <w:rsid w:val="20842ACB"/>
    <w:rsid w:val="209015C1"/>
    <w:rsid w:val="20B52CA2"/>
    <w:rsid w:val="20CF019E"/>
    <w:rsid w:val="213470EA"/>
    <w:rsid w:val="21472D4F"/>
    <w:rsid w:val="214A44E5"/>
    <w:rsid w:val="21770704"/>
    <w:rsid w:val="220B0BF9"/>
    <w:rsid w:val="222823A6"/>
    <w:rsid w:val="223200A0"/>
    <w:rsid w:val="22610A66"/>
    <w:rsid w:val="22782DA8"/>
    <w:rsid w:val="22CB7684"/>
    <w:rsid w:val="231D184B"/>
    <w:rsid w:val="236B74F0"/>
    <w:rsid w:val="237F3AA5"/>
    <w:rsid w:val="238F04F9"/>
    <w:rsid w:val="23C166D4"/>
    <w:rsid w:val="243913B7"/>
    <w:rsid w:val="24902CAF"/>
    <w:rsid w:val="249A2B87"/>
    <w:rsid w:val="24A95153"/>
    <w:rsid w:val="25361D02"/>
    <w:rsid w:val="2547074A"/>
    <w:rsid w:val="255E011A"/>
    <w:rsid w:val="255F0C6E"/>
    <w:rsid w:val="257F30C6"/>
    <w:rsid w:val="25833C0F"/>
    <w:rsid w:val="25834D9C"/>
    <w:rsid w:val="26250BF0"/>
    <w:rsid w:val="26291475"/>
    <w:rsid w:val="262A2775"/>
    <w:rsid w:val="268F7606"/>
    <w:rsid w:val="26C73C16"/>
    <w:rsid w:val="26D07AAA"/>
    <w:rsid w:val="26E53186"/>
    <w:rsid w:val="26E630D5"/>
    <w:rsid w:val="27290855"/>
    <w:rsid w:val="27571AEE"/>
    <w:rsid w:val="279958F2"/>
    <w:rsid w:val="27B84AFC"/>
    <w:rsid w:val="27CC7843"/>
    <w:rsid w:val="27ED3600"/>
    <w:rsid w:val="280C1921"/>
    <w:rsid w:val="28130F4D"/>
    <w:rsid w:val="28424DB3"/>
    <w:rsid w:val="284359A1"/>
    <w:rsid w:val="28447B73"/>
    <w:rsid w:val="28760EC6"/>
    <w:rsid w:val="28B931F6"/>
    <w:rsid w:val="28F7273D"/>
    <w:rsid w:val="2919172D"/>
    <w:rsid w:val="294642E4"/>
    <w:rsid w:val="29663B4B"/>
    <w:rsid w:val="29940D46"/>
    <w:rsid w:val="29CA1F76"/>
    <w:rsid w:val="2A03606D"/>
    <w:rsid w:val="2A12724E"/>
    <w:rsid w:val="2A766190"/>
    <w:rsid w:val="2AC7740C"/>
    <w:rsid w:val="2AE270E7"/>
    <w:rsid w:val="2AF57B3C"/>
    <w:rsid w:val="2AFD13D3"/>
    <w:rsid w:val="2AFE2C3F"/>
    <w:rsid w:val="2B0C0EC2"/>
    <w:rsid w:val="2B280FC1"/>
    <w:rsid w:val="2B8E4DD8"/>
    <w:rsid w:val="2B9C1B87"/>
    <w:rsid w:val="2BB602DA"/>
    <w:rsid w:val="2C065C7D"/>
    <w:rsid w:val="2C14082A"/>
    <w:rsid w:val="2C9E4B10"/>
    <w:rsid w:val="2CA25616"/>
    <w:rsid w:val="2CCA79C6"/>
    <w:rsid w:val="2D0C4899"/>
    <w:rsid w:val="2D146545"/>
    <w:rsid w:val="2D1716DD"/>
    <w:rsid w:val="2D2D660F"/>
    <w:rsid w:val="2D424923"/>
    <w:rsid w:val="2D6A0884"/>
    <w:rsid w:val="2DA1342C"/>
    <w:rsid w:val="2DBD7813"/>
    <w:rsid w:val="2E010EDA"/>
    <w:rsid w:val="2E07287D"/>
    <w:rsid w:val="2E176C99"/>
    <w:rsid w:val="2E3439ED"/>
    <w:rsid w:val="2E3E285B"/>
    <w:rsid w:val="2E4F0C45"/>
    <w:rsid w:val="2E651C03"/>
    <w:rsid w:val="2E7D1451"/>
    <w:rsid w:val="2E906731"/>
    <w:rsid w:val="2EEC455D"/>
    <w:rsid w:val="2F150D77"/>
    <w:rsid w:val="2F4E1A02"/>
    <w:rsid w:val="2F9657F9"/>
    <w:rsid w:val="2FDB6D8A"/>
    <w:rsid w:val="301361C6"/>
    <w:rsid w:val="30BC64A4"/>
    <w:rsid w:val="30C40BB7"/>
    <w:rsid w:val="30D00162"/>
    <w:rsid w:val="30D95D20"/>
    <w:rsid w:val="31087CAC"/>
    <w:rsid w:val="31390441"/>
    <w:rsid w:val="313F3DAD"/>
    <w:rsid w:val="314B6798"/>
    <w:rsid w:val="3168657F"/>
    <w:rsid w:val="31FF4841"/>
    <w:rsid w:val="32107BCF"/>
    <w:rsid w:val="324F7A81"/>
    <w:rsid w:val="32780FF4"/>
    <w:rsid w:val="32872C27"/>
    <w:rsid w:val="328A00F7"/>
    <w:rsid w:val="328C4C0E"/>
    <w:rsid w:val="32A526AE"/>
    <w:rsid w:val="32AC4642"/>
    <w:rsid w:val="32AF5BB5"/>
    <w:rsid w:val="32B44B4B"/>
    <w:rsid w:val="32CF04F1"/>
    <w:rsid w:val="32E96A23"/>
    <w:rsid w:val="32F02B12"/>
    <w:rsid w:val="333E5A6C"/>
    <w:rsid w:val="337251EA"/>
    <w:rsid w:val="33976D84"/>
    <w:rsid w:val="339C772F"/>
    <w:rsid w:val="33B4792E"/>
    <w:rsid w:val="33CD3691"/>
    <w:rsid w:val="33E142A9"/>
    <w:rsid w:val="340D2057"/>
    <w:rsid w:val="34AD6B5E"/>
    <w:rsid w:val="34BE7BE3"/>
    <w:rsid w:val="34F126D0"/>
    <w:rsid w:val="34FD2569"/>
    <w:rsid w:val="354502D6"/>
    <w:rsid w:val="35AB1575"/>
    <w:rsid w:val="360020AC"/>
    <w:rsid w:val="36313663"/>
    <w:rsid w:val="36705448"/>
    <w:rsid w:val="36970319"/>
    <w:rsid w:val="36EF18B5"/>
    <w:rsid w:val="371322A7"/>
    <w:rsid w:val="372D4190"/>
    <w:rsid w:val="373474A8"/>
    <w:rsid w:val="373621C8"/>
    <w:rsid w:val="374E0415"/>
    <w:rsid w:val="37E97E20"/>
    <w:rsid w:val="37EC62A0"/>
    <w:rsid w:val="38562562"/>
    <w:rsid w:val="38664AA7"/>
    <w:rsid w:val="386F3129"/>
    <w:rsid w:val="387B408E"/>
    <w:rsid w:val="38CF24DC"/>
    <w:rsid w:val="38F20FDE"/>
    <w:rsid w:val="390604D9"/>
    <w:rsid w:val="391C7CCC"/>
    <w:rsid w:val="39236408"/>
    <w:rsid w:val="394F18FC"/>
    <w:rsid w:val="39555CF3"/>
    <w:rsid w:val="395E4E2C"/>
    <w:rsid w:val="397759D1"/>
    <w:rsid w:val="39823E78"/>
    <w:rsid w:val="39DC6301"/>
    <w:rsid w:val="39E12D05"/>
    <w:rsid w:val="3ACB2368"/>
    <w:rsid w:val="3ACE7945"/>
    <w:rsid w:val="3ADA0A67"/>
    <w:rsid w:val="3AE27A82"/>
    <w:rsid w:val="3AF258CE"/>
    <w:rsid w:val="3B053DE9"/>
    <w:rsid w:val="3B40261A"/>
    <w:rsid w:val="3B7063BD"/>
    <w:rsid w:val="3B9A59D5"/>
    <w:rsid w:val="3BDC0BAF"/>
    <w:rsid w:val="3BE85A4D"/>
    <w:rsid w:val="3BFE6BA1"/>
    <w:rsid w:val="3C32445C"/>
    <w:rsid w:val="3C344DAF"/>
    <w:rsid w:val="3C422D40"/>
    <w:rsid w:val="3C430834"/>
    <w:rsid w:val="3CBA4306"/>
    <w:rsid w:val="3CF66D42"/>
    <w:rsid w:val="3D0F29BF"/>
    <w:rsid w:val="3D1B1EDD"/>
    <w:rsid w:val="3D2869BA"/>
    <w:rsid w:val="3D8540C4"/>
    <w:rsid w:val="3DCD6EDD"/>
    <w:rsid w:val="3DD71821"/>
    <w:rsid w:val="3E075386"/>
    <w:rsid w:val="3E302567"/>
    <w:rsid w:val="3E7B6B44"/>
    <w:rsid w:val="3ED474D7"/>
    <w:rsid w:val="3F041547"/>
    <w:rsid w:val="3F061DDB"/>
    <w:rsid w:val="3F1279D4"/>
    <w:rsid w:val="3F516CC0"/>
    <w:rsid w:val="40074B1B"/>
    <w:rsid w:val="40296CC3"/>
    <w:rsid w:val="40674E24"/>
    <w:rsid w:val="408D3E74"/>
    <w:rsid w:val="40904DA4"/>
    <w:rsid w:val="40931753"/>
    <w:rsid w:val="40B26812"/>
    <w:rsid w:val="419A745A"/>
    <w:rsid w:val="41A65039"/>
    <w:rsid w:val="41A94E1C"/>
    <w:rsid w:val="41F434BD"/>
    <w:rsid w:val="42000DDD"/>
    <w:rsid w:val="42255727"/>
    <w:rsid w:val="424D1C3D"/>
    <w:rsid w:val="426B0880"/>
    <w:rsid w:val="427447DB"/>
    <w:rsid w:val="427E70CE"/>
    <w:rsid w:val="431A7885"/>
    <w:rsid w:val="435A4C64"/>
    <w:rsid w:val="43B95CB2"/>
    <w:rsid w:val="43BC7C24"/>
    <w:rsid w:val="449057BA"/>
    <w:rsid w:val="449F524D"/>
    <w:rsid w:val="44A950A8"/>
    <w:rsid w:val="44BA08E4"/>
    <w:rsid w:val="44CC6046"/>
    <w:rsid w:val="44CC6853"/>
    <w:rsid w:val="44D8464C"/>
    <w:rsid w:val="45301611"/>
    <w:rsid w:val="457B14BB"/>
    <w:rsid w:val="45814C9F"/>
    <w:rsid w:val="4587457B"/>
    <w:rsid w:val="45DD1FD3"/>
    <w:rsid w:val="45F4543C"/>
    <w:rsid w:val="46284C29"/>
    <w:rsid w:val="467E7943"/>
    <w:rsid w:val="46A04F38"/>
    <w:rsid w:val="46C76038"/>
    <w:rsid w:val="46E13114"/>
    <w:rsid w:val="47086432"/>
    <w:rsid w:val="473B47BC"/>
    <w:rsid w:val="47400436"/>
    <w:rsid w:val="4742612A"/>
    <w:rsid w:val="47486C0C"/>
    <w:rsid w:val="474A4B03"/>
    <w:rsid w:val="477F0D5B"/>
    <w:rsid w:val="479F47FF"/>
    <w:rsid w:val="47AE4FE1"/>
    <w:rsid w:val="47B23189"/>
    <w:rsid w:val="47BA4C13"/>
    <w:rsid w:val="47DE7155"/>
    <w:rsid w:val="48577891"/>
    <w:rsid w:val="489D5DFD"/>
    <w:rsid w:val="48AE5DA7"/>
    <w:rsid w:val="48F422CA"/>
    <w:rsid w:val="49D934B1"/>
    <w:rsid w:val="4A0206B5"/>
    <w:rsid w:val="4A4B3974"/>
    <w:rsid w:val="4A4D2210"/>
    <w:rsid w:val="4A722A65"/>
    <w:rsid w:val="4A76228F"/>
    <w:rsid w:val="4AAE03AE"/>
    <w:rsid w:val="4AC3606E"/>
    <w:rsid w:val="4AE96292"/>
    <w:rsid w:val="4B376367"/>
    <w:rsid w:val="4B437AA8"/>
    <w:rsid w:val="4B530E9F"/>
    <w:rsid w:val="4B5E48D6"/>
    <w:rsid w:val="4B6349EF"/>
    <w:rsid w:val="4B6815AA"/>
    <w:rsid w:val="4BD15778"/>
    <w:rsid w:val="4BD20B42"/>
    <w:rsid w:val="4BE47673"/>
    <w:rsid w:val="4BE72DDB"/>
    <w:rsid w:val="4C2218EC"/>
    <w:rsid w:val="4C763690"/>
    <w:rsid w:val="4CA632D7"/>
    <w:rsid w:val="4CBC4800"/>
    <w:rsid w:val="4CE975FA"/>
    <w:rsid w:val="4D402098"/>
    <w:rsid w:val="4D5B7AF3"/>
    <w:rsid w:val="4D6E6174"/>
    <w:rsid w:val="4DB21413"/>
    <w:rsid w:val="4DC57614"/>
    <w:rsid w:val="4DDA7BFF"/>
    <w:rsid w:val="4E045F8B"/>
    <w:rsid w:val="4E0D6457"/>
    <w:rsid w:val="4E38535D"/>
    <w:rsid w:val="4E3D1DAA"/>
    <w:rsid w:val="4E617491"/>
    <w:rsid w:val="4EB312CD"/>
    <w:rsid w:val="4EDE12B1"/>
    <w:rsid w:val="4EF0570B"/>
    <w:rsid w:val="4F2A23E1"/>
    <w:rsid w:val="4F57340A"/>
    <w:rsid w:val="4F791550"/>
    <w:rsid w:val="4F9353D6"/>
    <w:rsid w:val="4F9C3AD4"/>
    <w:rsid w:val="50042147"/>
    <w:rsid w:val="503D3DE2"/>
    <w:rsid w:val="505A0E0F"/>
    <w:rsid w:val="505F3653"/>
    <w:rsid w:val="50CF27A9"/>
    <w:rsid w:val="50E72833"/>
    <w:rsid w:val="50EA1B13"/>
    <w:rsid w:val="50EE497F"/>
    <w:rsid w:val="50FD6952"/>
    <w:rsid w:val="5156059D"/>
    <w:rsid w:val="517C4184"/>
    <w:rsid w:val="51BC6A45"/>
    <w:rsid w:val="51F36C71"/>
    <w:rsid w:val="51F47762"/>
    <w:rsid w:val="51FE13A6"/>
    <w:rsid w:val="52666C4C"/>
    <w:rsid w:val="52666F22"/>
    <w:rsid w:val="528C4CA9"/>
    <w:rsid w:val="52B06D10"/>
    <w:rsid w:val="52BB7B2F"/>
    <w:rsid w:val="52CC5E45"/>
    <w:rsid w:val="52FF77FE"/>
    <w:rsid w:val="53270293"/>
    <w:rsid w:val="53B5275A"/>
    <w:rsid w:val="540E3455"/>
    <w:rsid w:val="54406BE8"/>
    <w:rsid w:val="544E37A6"/>
    <w:rsid w:val="54605424"/>
    <w:rsid w:val="54984B2D"/>
    <w:rsid w:val="54D40CAD"/>
    <w:rsid w:val="54DA7F18"/>
    <w:rsid w:val="54DD79C7"/>
    <w:rsid w:val="550A47AB"/>
    <w:rsid w:val="556F783F"/>
    <w:rsid w:val="55921487"/>
    <w:rsid w:val="55A7667A"/>
    <w:rsid w:val="55A87A41"/>
    <w:rsid w:val="55B7353F"/>
    <w:rsid w:val="564F6EC7"/>
    <w:rsid w:val="5656296D"/>
    <w:rsid w:val="566F7A73"/>
    <w:rsid w:val="5675644B"/>
    <w:rsid w:val="568E31ED"/>
    <w:rsid w:val="56A35532"/>
    <w:rsid w:val="56B300D2"/>
    <w:rsid w:val="56D2362F"/>
    <w:rsid w:val="57117719"/>
    <w:rsid w:val="57997E6F"/>
    <w:rsid w:val="58363895"/>
    <w:rsid w:val="585D4BD5"/>
    <w:rsid w:val="5877076C"/>
    <w:rsid w:val="588F00D6"/>
    <w:rsid w:val="58B14716"/>
    <w:rsid w:val="58D71340"/>
    <w:rsid w:val="58F11FC3"/>
    <w:rsid w:val="59271254"/>
    <w:rsid w:val="592E6E3D"/>
    <w:rsid w:val="59672E2A"/>
    <w:rsid w:val="596A672F"/>
    <w:rsid w:val="59C12E09"/>
    <w:rsid w:val="59CE572A"/>
    <w:rsid w:val="5AB16562"/>
    <w:rsid w:val="5AE048B2"/>
    <w:rsid w:val="5B2C3D90"/>
    <w:rsid w:val="5B401C16"/>
    <w:rsid w:val="5B496C09"/>
    <w:rsid w:val="5B79077A"/>
    <w:rsid w:val="5C1E1293"/>
    <w:rsid w:val="5C3E3D98"/>
    <w:rsid w:val="5C5E4357"/>
    <w:rsid w:val="5C6A1BA7"/>
    <w:rsid w:val="5C976391"/>
    <w:rsid w:val="5CE730C7"/>
    <w:rsid w:val="5CEB4BEC"/>
    <w:rsid w:val="5D6B37BF"/>
    <w:rsid w:val="5D744FA9"/>
    <w:rsid w:val="5D801624"/>
    <w:rsid w:val="5D827F69"/>
    <w:rsid w:val="5D8374CD"/>
    <w:rsid w:val="5D9160DC"/>
    <w:rsid w:val="5DB97C30"/>
    <w:rsid w:val="5E1D2DF2"/>
    <w:rsid w:val="5E352DE9"/>
    <w:rsid w:val="5E377282"/>
    <w:rsid w:val="5E58325A"/>
    <w:rsid w:val="5E6E324B"/>
    <w:rsid w:val="5EA24EF5"/>
    <w:rsid w:val="5EAA72C5"/>
    <w:rsid w:val="5ED70C00"/>
    <w:rsid w:val="5F2A6867"/>
    <w:rsid w:val="5F83468A"/>
    <w:rsid w:val="5F9665BE"/>
    <w:rsid w:val="5FA029C6"/>
    <w:rsid w:val="5FB0208A"/>
    <w:rsid w:val="5FB57EC0"/>
    <w:rsid w:val="5FC57CF6"/>
    <w:rsid w:val="5FFF2250"/>
    <w:rsid w:val="6018526F"/>
    <w:rsid w:val="602C097D"/>
    <w:rsid w:val="604E439F"/>
    <w:rsid w:val="60616C72"/>
    <w:rsid w:val="60630956"/>
    <w:rsid w:val="60716E83"/>
    <w:rsid w:val="6099726A"/>
    <w:rsid w:val="60FE7EBB"/>
    <w:rsid w:val="61134B0B"/>
    <w:rsid w:val="613626A2"/>
    <w:rsid w:val="615355C1"/>
    <w:rsid w:val="615640E5"/>
    <w:rsid w:val="615A16D3"/>
    <w:rsid w:val="616E3109"/>
    <w:rsid w:val="61810649"/>
    <w:rsid w:val="61841B41"/>
    <w:rsid w:val="61ED2A1D"/>
    <w:rsid w:val="61F262F1"/>
    <w:rsid w:val="62260082"/>
    <w:rsid w:val="62310ED5"/>
    <w:rsid w:val="628805E4"/>
    <w:rsid w:val="62A83B70"/>
    <w:rsid w:val="62B32430"/>
    <w:rsid w:val="6316491D"/>
    <w:rsid w:val="63E37C61"/>
    <w:rsid w:val="64045298"/>
    <w:rsid w:val="640A3C99"/>
    <w:rsid w:val="64170F8C"/>
    <w:rsid w:val="642E57AC"/>
    <w:rsid w:val="643C6DD5"/>
    <w:rsid w:val="644F2CB9"/>
    <w:rsid w:val="647734ED"/>
    <w:rsid w:val="651B14A3"/>
    <w:rsid w:val="653A3A1C"/>
    <w:rsid w:val="65505238"/>
    <w:rsid w:val="657F208A"/>
    <w:rsid w:val="65882EF8"/>
    <w:rsid w:val="65D44368"/>
    <w:rsid w:val="6607111F"/>
    <w:rsid w:val="66111AE6"/>
    <w:rsid w:val="66504983"/>
    <w:rsid w:val="665937B4"/>
    <w:rsid w:val="66831D0C"/>
    <w:rsid w:val="66CB3EE8"/>
    <w:rsid w:val="66EB50A0"/>
    <w:rsid w:val="670275E4"/>
    <w:rsid w:val="675F6C7C"/>
    <w:rsid w:val="67772110"/>
    <w:rsid w:val="67946293"/>
    <w:rsid w:val="67B60765"/>
    <w:rsid w:val="67B76A58"/>
    <w:rsid w:val="67C03E2A"/>
    <w:rsid w:val="67C43CCC"/>
    <w:rsid w:val="681C4384"/>
    <w:rsid w:val="686D2A6A"/>
    <w:rsid w:val="687006FB"/>
    <w:rsid w:val="68C60138"/>
    <w:rsid w:val="68DA0CE9"/>
    <w:rsid w:val="68DD0BD4"/>
    <w:rsid w:val="68EB729C"/>
    <w:rsid w:val="68FF757F"/>
    <w:rsid w:val="691276F7"/>
    <w:rsid w:val="69256121"/>
    <w:rsid w:val="694A17D4"/>
    <w:rsid w:val="696F70B3"/>
    <w:rsid w:val="69A60A2E"/>
    <w:rsid w:val="69B43734"/>
    <w:rsid w:val="69D22936"/>
    <w:rsid w:val="69E46F68"/>
    <w:rsid w:val="6A040D0D"/>
    <w:rsid w:val="6A4D00DD"/>
    <w:rsid w:val="6A6A69E9"/>
    <w:rsid w:val="6A7C0BFA"/>
    <w:rsid w:val="6A8B55EF"/>
    <w:rsid w:val="6A912064"/>
    <w:rsid w:val="6AA15542"/>
    <w:rsid w:val="6AD7272C"/>
    <w:rsid w:val="6ADD4C32"/>
    <w:rsid w:val="6AF74C7F"/>
    <w:rsid w:val="6B43748C"/>
    <w:rsid w:val="6B4A4192"/>
    <w:rsid w:val="6B822D85"/>
    <w:rsid w:val="6B8537A7"/>
    <w:rsid w:val="6B9564B6"/>
    <w:rsid w:val="6B9A4784"/>
    <w:rsid w:val="6BC427B6"/>
    <w:rsid w:val="6C0F7E47"/>
    <w:rsid w:val="6C362C55"/>
    <w:rsid w:val="6C6B421E"/>
    <w:rsid w:val="6C8A479D"/>
    <w:rsid w:val="6C9015BB"/>
    <w:rsid w:val="6C974EC3"/>
    <w:rsid w:val="6CA70B5E"/>
    <w:rsid w:val="6CBC33D9"/>
    <w:rsid w:val="6D236994"/>
    <w:rsid w:val="6DBF14D9"/>
    <w:rsid w:val="6DC03FB5"/>
    <w:rsid w:val="6DD450BF"/>
    <w:rsid w:val="6DEA4F80"/>
    <w:rsid w:val="6DF4584D"/>
    <w:rsid w:val="6E0629A2"/>
    <w:rsid w:val="6E0C655E"/>
    <w:rsid w:val="6E0F06D7"/>
    <w:rsid w:val="6E3A2DCF"/>
    <w:rsid w:val="6EA21D33"/>
    <w:rsid w:val="6EC01436"/>
    <w:rsid w:val="6EC22FC2"/>
    <w:rsid w:val="6EF91AD9"/>
    <w:rsid w:val="6EFF295C"/>
    <w:rsid w:val="6F003454"/>
    <w:rsid w:val="6F0624AA"/>
    <w:rsid w:val="6F1C0209"/>
    <w:rsid w:val="6F3C76D0"/>
    <w:rsid w:val="6F4C1D0C"/>
    <w:rsid w:val="6F787848"/>
    <w:rsid w:val="6FAB0A88"/>
    <w:rsid w:val="6FC73EF0"/>
    <w:rsid w:val="6FF641A5"/>
    <w:rsid w:val="705F3726"/>
    <w:rsid w:val="70A867F7"/>
    <w:rsid w:val="70CE2876"/>
    <w:rsid w:val="71382F05"/>
    <w:rsid w:val="720F3474"/>
    <w:rsid w:val="723554CD"/>
    <w:rsid w:val="723B0FE4"/>
    <w:rsid w:val="72AE3B20"/>
    <w:rsid w:val="72B57805"/>
    <w:rsid w:val="72CA1C22"/>
    <w:rsid w:val="72CA7644"/>
    <w:rsid w:val="72E3291E"/>
    <w:rsid w:val="730A44BA"/>
    <w:rsid w:val="73514A46"/>
    <w:rsid w:val="74814759"/>
    <w:rsid w:val="74D36F7B"/>
    <w:rsid w:val="74DD38AF"/>
    <w:rsid w:val="75561A47"/>
    <w:rsid w:val="75A03CB4"/>
    <w:rsid w:val="75B63521"/>
    <w:rsid w:val="75BD2420"/>
    <w:rsid w:val="75E54C1A"/>
    <w:rsid w:val="763F0A16"/>
    <w:rsid w:val="76811DED"/>
    <w:rsid w:val="768D11D2"/>
    <w:rsid w:val="76931738"/>
    <w:rsid w:val="769E1EFA"/>
    <w:rsid w:val="76F03FD0"/>
    <w:rsid w:val="771F1363"/>
    <w:rsid w:val="775E2215"/>
    <w:rsid w:val="77950F70"/>
    <w:rsid w:val="7797783A"/>
    <w:rsid w:val="77BB2AEE"/>
    <w:rsid w:val="77C473F7"/>
    <w:rsid w:val="77C8687E"/>
    <w:rsid w:val="77CE50EF"/>
    <w:rsid w:val="77F646D0"/>
    <w:rsid w:val="788E029C"/>
    <w:rsid w:val="7913730A"/>
    <w:rsid w:val="791939BD"/>
    <w:rsid w:val="79361BB7"/>
    <w:rsid w:val="79A810D8"/>
    <w:rsid w:val="79B16E84"/>
    <w:rsid w:val="79EE0100"/>
    <w:rsid w:val="7A0940D0"/>
    <w:rsid w:val="7A2A2FF5"/>
    <w:rsid w:val="7A5A3969"/>
    <w:rsid w:val="7A5F0950"/>
    <w:rsid w:val="7A6338A0"/>
    <w:rsid w:val="7A9C441E"/>
    <w:rsid w:val="7AA10A5C"/>
    <w:rsid w:val="7AAF5690"/>
    <w:rsid w:val="7AC852F3"/>
    <w:rsid w:val="7AD25FED"/>
    <w:rsid w:val="7AEE0D13"/>
    <w:rsid w:val="7AF16FE3"/>
    <w:rsid w:val="7B454351"/>
    <w:rsid w:val="7B5562E8"/>
    <w:rsid w:val="7BA10D16"/>
    <w:rsid w:val="7BAC4D14"/>
    <w:rsid w:val="7BC41575"/>
    <w:rsid w:val="7BD939B4"/>
    <w:rsid w:val="7BED3405"/>
    <w:rsid w:val="7C0B18A6"/>
    <w:rsid w:val="7C0F7D55"/>
    <w:rsid w:val="7CC479EE"/>
    <w:rsid w:val="7CFF1380"/>
    <w:rsid w:val="7D161D88"/>
    <w:rsid w:val="7D2266A8"/>
    <w:rsid w:val="7D5D7BB4"/>
    <w:rsid w:val="7D5F0E52"/>
    <w:rsid w:val="7D6E764A"/>
    <w:rsid w:val="7DA06AEC"/>
    <w:rsid w:val="7DA128BB"/>
    <w:rsid w:val="7DD0430C"/>
    <w:rsid w:val="7DE03644"/>
    <w:rsid w:val="7DE7098B"/>
    <w:rsid w:val="7E0719D4"/>
    <w:rsid w:val="7EDD65DE"/>
    <w:rsid w:val="7F587993"/>
    <w:rsid w:val="7F640F59"/>
    <w:rsid w:val="7F6C5B7A"/>
    <w:rsid w:val="7F744308"/>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2"/>
    <w:basedOn w:val="1"/>
    <w:qFormat/>
    <w:uiPriority w:val="0"/>
    <w:pPr>
      <w:spacing w:line="500" w:lineRule="exact"/>
      <w:ind w:firstLine="200" w:firstLineChars="200"/>
    </w:pPr>
    <w:rPr>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Title"/>
    <w:basedOn w:val="1"/>
    <w:next w:val="1"/>
    <w:qFormat/>
    <w:uiPriority w:val="0"/>
    <w:pPr>
      <w:pageBreakBefore/>
      <w:ind w:firstLine="0" w:firstLineChars="0"/>
      <w:jc w:val="center"/>
      <w:outlineLvl w:val="0"/>
    </w:pPr>
    <w:rPr>
      <w:rFonts w:eastAsiaTheme="majorEastAsia" w:cstheme="majorBidi"/>
      <w:b/>
      <w:bCs/>
      <w:sz w:val="32"/>
      <w:szCs w:val="32"/>
    </w:rPr>
  </w:style>
  <w:style w:type="paragraph" w:styleId="9">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font21"/>
    <w:basedOn w:val="12"/>
    <w:qFormat/>
    <w:uiPriority w:val="0"/>
    <w:rPr>
      <w:rFonts w:hint="eastAsia" w:ascii="宋体" w:hAnsi="宋体" w:eastAsia="宋体" w:cs="宋体"/>
      <w:color w:val="000000"/>
      <w:sz w:val="22"/>
      <w:szCs w:val="22"/>
      <w:u w:val="none"/>
    </w:rPr>
  </w:style>
  <w:style w:type="character" w:customStyle="1" w:styleId="15">
    <w:name w:val="font11"/>
    <w:basedOn w:val="12"/>
    <w:qFormat/>
    <w:uiPriority w:val="0"/>
    <w:rPr>
      <w:rFonts w:hint="default" w:ascii="Times New Roman" w:hAnsi="Times New Roman" w:cs="Times New Roman"/>
      <w:color w:val="000000"/>
      <w:sz w:val="22"/>
      <w:szCs w:val="22"/>
      <w:u w:val="none"/>
    </w:rPr>
  </w:style>
  <w:style w:type="character" w:customStyle="1" w:styleId="16">
    <w:name w:val="font31"/>
    <w:basedOn w:val="12"/>
    <w:qFormat/>
    <w:uiPriority w:val="0"/>
    <w:rPr>
      <w:rFonts w:hint="eastAsia" w:ascii="宋体" w:hAnsi="宋体" w:eastAsia="宋体" w:cs="宋体"/>
      <w:color w:val="000000"/>
      <w:sz w:val="18"/>
      <w:szCs w:val="18"/>
      <w:u w:val="none"/>
    </w:rPr>
  </w:style>
  <w:style w:type="character" w:customStyle="1" w:styleId="17">
    <w:name w:val="font41"/>
    <w:basedOn w:val="12"/>
    <w:qFormat/>
    <w:uiPriority w:val="0"/>
    <w:rPr>
      <w:rFonts w:hint="default" w:ascii="Times New Roman" w:hAnsi="Times New Roman" w:cs="Times New Roman"/>
      <w:color w:val="000000"/>
      <w:sz w:val="24"/>
      <w:szCs w:val="24"/>
      <w:u w:val="none"/>
    </w:rPr>
  </w:style>
  <w:style w:type="character" w:customStyle="1" w:styleId="18">
    <w:name w:val="font01"/>
    <w:basedOn w:val="12"/>
    <w:qFormat/>
    <w:uiPriority w:val="0"/>
    <w:rPr>
      <w:rFonts w:hint="eastAsia" w:ascii="宋体" w:hAnsi="宋体" w:eastAsia="宋体" w:cs="宋体"/>
      <w:color w:val="000000"/>
      <w:sz w:val="21"/>
      <w:szCs w:val="21"/>
      <w:u w:val="none"/>
    </w:rPr>
  </w:style>
  <w:style w:type="character" w:customStyle="1" w:styleId="19">
    <w:name w:val="font61"/>
    <w:basedOn w:val="12"/>
    <w:qFormat/>
    <w:uiPriority w:val="0"/>
    <w:rPr>
      <w:rFonts w:hint="eastAsia" w:ascii="宋体" w:hAnsi="宋体" w:eastAsia="宋体" w:cs="宋体"/>
      <w:b/>
      <w:color w:val="000000"/>
      <w:sz w:val="24"/>
      <w:szCs w:val="24"/>
      <w:u w:val="none"/>
    </w:rPr>
  </w:style>
  <w:style w:type="character" w:customStyle="1" w:styleId="20">
    <w:name w:val="font81"/>
    <w:basedOn w:val="12"/>
    <w:qFormat/>
    <w:uiPriority w:val="0"/>
    <w:rPr>
      <w:rFonts w:hint="eastAsia" w:ascii="宋体" w:hAnsi="宋体" w:eastAsia="宋体" w:cs="宋体"/>
      <w:color w:val="000000"/>
      <w:sz w:val="24"/>
      <w:szCs w:val="24"/>
      <w:u w:val="none"/>
    </w:rPr>
  </w:style>
  <w:style w:type="character" w:customStyle="1" w:styleId="21">
    <w:name w:val="font71"/>
    <w:basedOn w:val="12"/>
    <w:qFormat/>
    <w:uiPriority w:val="0"/>
    <w:rPr>
      <w:rFonts w:hint="eastAsia" w:ascii="宋体" w:hAnsi="宋体" w:eastAsia="宋体" w:cs="宋体"/>
      <w:b/>
      <w:color w:val="FF0000"/>
      <w:sz w:val="24"/>
      <w:szCs w:val="24"/>
      <w:u w:val="none"/>
    </w:rPr>
  </w:style>
  <w:style w:type="character" w:customStyle="1" w:styleId="22">
    <w:name w:val="font141"/>
    <w:basedOn w:val="12"/>
    <w:qFormat/>
    <w:uiPriority w:val="0"/>
    <w:rPr>
      <w:rFonts w:hint="eastAsia" w:ascii="宋体" w:hAnsi="宋体" w:eastAsia="宋体" w:cs="宋体"/>
      <w:color w:val="FF0000"/>
      <w:sz w:val="22"/>
      <w:szCs w:val="22"/>
      <w:u w:val="none"/>
    </w:rPr>
  </w:style>
  <w:style w:type="character" w:customStyle="1" w:styleId="23">
    <w:name w:val="font121"/>
    <w:basedOn w:val="12"/>
    <w:qFormat/>
    <w:uiPriority w:val="0"/>
    <w:rPr>
      <w:rFonts w:hint="eastAsia" w:ascii="宋体" w:hAnsi="宋体" w:eastAsia="宋体" w:cs="宋体"/>
      <w:color w:val="FF0000"/>
      <w:sz w:val="24"/>
      <w:szCs w:val="24"/>
      <w:u w:val="none"/>
    </w:rPr>
  </w:style>
  <w:style w:type="character" w:customStyle="1" w:styleId="24">
    <w:name w:val="font101"/>
    <w:basedOn w:val="12"/>
    <w:qFormat/>
    <w:uiPriority w:val="0"/>
    <w:rPr>
      <w:rFonts w:hint="eastAsia" w:ascii="宋体" w:hAnsi="宋体" w:eastAsia="宋体" w:cs="宋体"/>
      <w:b/>
      <w:color w:val="000000"/>
      <w:sz w:val="24"/>
      <w:szCs w:val="24"/>
      <w:u w:val="none"/>
    </w:rPr>
  </w:style>
  <w:style w:type="character" w:customStyle="1" w:styleId="25">
    <w:name w:val="font51"/>
    <w:basedOn w:val="12"/>
    <w:qFormat/>
    <w:uiPriority w:val="0"/>
    <w:rPr>
      <w:rFonts w:hint="eastAsia" w:ascii="宋体" w:hAnsi="宋体" w:eastAsia="宋体" w:cs="宋体"/>
      <w:color w:val="000000"/>
      <w:sz w:val="24"/>
      <w:szCs w:val="24"/>
      <w:u w:val="none"/>
    </w:rPr>
  </w:style>
  <w:style w:type="character" w:customStyle="1" w:styleId="26">
    <w:name w:val="font112"/>
    <w:basedOn w:val="12"/>
    <w:qFormat/>
    <w:uiPriority w:val="0"/>
    <w:rPr>
      <w:rFonts w:hint="eastAsia" w:ascii="宋体" w:hAnsi="宋体" w:eastAsia="宋体" w:cs="宋体"/>
      <w:color w:val="FF0000"/>
      <w:sz w:val="24"/>
      <w:szCs w:val="24"/>
      <w:u w:val="none"/>
    </w:rPr>
  </w:style>
  <w:style w:type="character" w:customStyle="1" w:styleId="27">
    <w:name w:val="font111"/>
    <w:basedOn w:val="12"/>
    <w:qFormat/>
    <w:uiPriority w:val="0"/>
    <w:rPr>
      <w:rFonts w:hint="eastAsia" w:ascii="宋体" w:hAnsi="宋体" w:eastAsia="宋体" w:cs="宋体"/>
      <w:color w:val="FF0000"/>
      <w:sz w:val="24"/>
      <w:szCs w:val="24"/>
      <w:u w:val="none"/>
    </w:rPr>
  </w:style>
  <w:style w:type="character" w:customStyle="1" w:styleId="28">
    <w:name w:val="font91"/>
    <w:basedOn w:val="12"/>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18745</Words>
  <Characters>22701</Characters>
  <Lines>0</Lines>
  <Paragraphs>0</Paragraphs>
  <TotalTime>0</TotalTime>
  <ScaleCrop>false</ScaleCrop>
  <LinksUpToDate>false</LinksUpToDate>
  <CharactersWithSpaces>23963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WPS_1528102356</cp:lastModifiedBy>
  <dcterms:modified xsi:type="dcterms:W3CDTF">2021-05-07T04:56:26Z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FAC6C78D7BC64F2CB0D8867F700E588A</vt:lpwstr>
  </property>
</Properties>
</file>